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DB572" w14:textId="39B4841A" w:rsidR="00FD58F0" w:rsidRDefault="00F42C03">
      <w:pPr>
        <w:rPr>
          <w:b/>
        </w:rPr>
      </w:pPr>
      <w:r>
        <w:rPr>
          <w:b/>
        </w:rPr>
        <w:t xml:space="preserve">01 </w:t>
      </w:r>
      <w:r w:rsidR="00DD588E" w:rsidRPr="00DD588E">
        <w:rPr>
          <w:b/>
        </w:rPr>
        <w:t xml:space="preserve">MEMORANDUM </w:t>
      </w:r>
      <w:r w:rsidR="009C3F9E">
        <w:rPr>
          <w:b/>
        </w:rPr>
        <w:t>2.2</w:t>
      </w:r>
      <w:r w:rsidR="005169C7">
        <w:rPr>
          <w:b/>
        </w:rPr>
        <w:t xml:space="preserve"> dated 2</w:t>
      </w:r>
      <w:r w:rsidR="009C3F9E">
        <w:rPr>
          <w:b/>
        </w:rPr>
        <w:t>5</w:t>
      </w:r>
      <w:r w:rsidR="008E19D0">
        <w:rPr>
          <w:b/>
        </w:rPr>
        <w:t xml:space="preserve"> June 2014</w:t>
      </w:r>
    </w:p>
    <w:p w14:paraId="4326C0AA" w14:textId="23A1A853" w:rsidR="00DD588E" w:rsidRDefault="00DD588E">
      <w:pPr>
        <w:rPr>
          <w:b/>
        </w:rPr>
      </w:pPr>
      <w:r>
        <w:rPr>
          <w:b/>
        </w:rPr>
        <w:t xml:space="preserve">Subject: </w:t>
      </w:r>
      <w:r w:rsidR="005169C7">
        <w:rPr>
          <w:b/>
        </w:rPr>
        <w:t>Consolidating &amp; Catapulting De</w:t>
      </w:r>
      <w:r w:rsidR="00B26718">
        <w:rPr>
          <w:b/>
        </w:rPr>
        <w:t>fense and National Open Source</w:t>
      </w:r>
      <w:r w:rsidR="005169C7">
        <w:rPr>
          <w:b/>
        </w:rPr>
        <w:t xml:space="preserve"> Methods</w:t>
      </w:r>
    </w:p>
    <w:p w14:paraId="40BA031D" w14:textId="77777777" w:rsidR="005169C7" w:rsidRDefault="005169C7">
      <w:pPr>
        <w:rPr>
          <w:b/>
        </w:rPr>
      </w:pPr>
      <w:r>
        <w:rPr>
          <w:b/>
        </w:rPr>
        <w:t>Executive Summary</w:t>
      </w:r>
    </w:p>
    <w:p w14:paraId="3B1642B5" w14:textId="77DC5851" w:rsidR="005169C7" w:rsidRDefault="005169C7">
      <w:r w:rsidRPr="005169C7">
        <w:t xml:space="preserve">Defense and national endeavors in the Open Source Intelligence (OSINT) arena are </w:t>
      </w:r>
      <w:r w:rsidR="008F175C">
        <w:t>expensive (at least $1B a year according to a USD(I) prior OSINT point of contact</w:t>
      </w:r>
      <w:r w:rsidR="002E1CF3">
        <w:t>)</w:t>
      </w:r>
      <w:bookmarkStart w:id="0" w:name="_GoBack"/>
      <w:bookmarkEnd w:id="0"/>
      <w:r w:rsidR="008F175C">
        <w:t xml:space="preserve"> </w:t>
      </w:r>
      <w:r w:rsidRPr="005169C7">
        <w:t>fragmented, wasteful, and also insufficient – ignoring 80% of the potential from human oral hi</w:t>
      </w:r>
      <w:r w:rsidR="007E6528">
        <w:t>story and direct analog access, while still lacking in the fundamentals of broad multi-lingual access and geospatial registration of all data. In the case of the Central Intelligence Agency Open Source Center (CIA/OSC), contacts with overt subject matter experts (SME) are explicitly forbidden by the clandestine service. In the case of defense intelligence, there is no single point for the management of all “fifteen slices” of human intelligence (HUMINT), only four of which are classified. In general, OSINT is being treated as a technical Internet surfing exercise, when the surface web (what Google can see) is a fraction of the deep web, and the web is in turn a tiny fraction of all that can be kn</w:t>
      </w:r>
      <w:r w:rsidR="00FE4371">
        <w:t>own legally and ethically.</w:t>
      </w:r>
    </w:p>
    <w:p w14:paraId="37D01A56" w14:textId="2DEDA0A9" w:rsidR="00B26718" w:rsidRDefault="00B26718" w:rsidP="00B26718">
      <w:r>
        <w:t>Five options are presented for consideration by the Director – three of those options can be executed internally by the Defense Intelligence Agency (DIA) while two require staffing across the Services and theaters toward a Secretary of Defense (SecDef) decision. The five non-exclusive options are:</w:t>
      </w:r>
    </w:p>
    <w:tbl>
      <w:tblPr>
        <w:tblStyle w:val="TableGrid"/>
        <w:tblW w:w="0" w:type="auto"/>
        <w:tblLook w:val="04A0" w:firstRow="1" w:lastRow="0" w:firstColumn="1" w:lastColumn="0" w:noHBand="0" w:noVBand="1"/>
      </w:tblPr>
      <w:tblGrid>
        <w:gridCol w:w="3978"/>
        <w:gridCol w:w="851"/>
        <w:gridCol w:w="4747"/>
      </w:tblGrid>
      <w:tr w:rsidR="00B26718" w14:paraId="4FF62844" w14:textId="77777777" w:rsidTr="00B26718">
        <w:tc>
          <w:tcPr>
            <w:tcW w:w="3978" w:type="dxa"/>
          </w:tcPr>
          <w:p w14:paraId="2543A8BE" w14:textId="458F3826" w:rsidR="00B26718" w:rsidRDefault="00B26718">
            <w:r>
              <w:t>01 DIA Funds Small Pilot at NDU</w:t>
            </w:r>
          </w:p>
        </w:tc>
        <w:tc>
          <w:tcPr>
            <w:tcW w:w="851" w:type="dxa"/>
          </w:tcPr>
          <w:p w14:paraId="2FAD395F" w14:textId="2269DAA8" w:rsidR="00B26718" w:rsidRDefault="00B26718" w:rsidP="00B26718">
            <w:pPr>
              <w:jc w:val="right"/>
            </w:pPr>
            <w:r>
              <w:t>$5M</w:t>
            </w:r>
          </w:p>
        </w:tc>
        <w:tc>
          <w:tcPr>
            <w:tcW w:w="4747" w:type="dxa"/>
          </w:tcPr>
          <w:p w14:paraId="237EBBC5" w14:textId="7B14433C" w:rsidR="00B26718" w:rsidRDefault="00B26718">
            <w:r>
              <w:t>Funds exploration, conference, workshops, travel</w:t>
            </w:r>
          </w:p>
        </w:tc>
      </w:tr>
      <w:tr w:rsidR="00B26718" w14:paraId="1529F2CA" w14:textId="77777777" w:rsidTr="00B26718">
        <w:tc>
          <w:tcPr>
            <w:tcW w:w="3978" w:type="dxa"/>
          </w:tcPr>
          <w:p w14:paraId="31739F48" w14:textId="2BC783FD" w:rsidR="00B26718" w:rsidRDefault="00B26718" w:rsidP="00B26718">
            <w:r>
              <w:t>02 DIA Funds Strong Pilot at NDU</w:t>
            </w:r>
          </w:p>
        </w:tc>
        <w:tc>
          <w:tcPr>
            <w:tcW w:w="851" w:type="dxa"/>
          </w:tcPr>
          <w:p w14:paraId="3BB25A2F" w14:textId="0D50FD7F" w:rsidR="00B26718" w:rsidRDefault="00B26718" w:rsidP="00B26718">
            <w:pPr>
              <w:jc w:val="right"/>
            </w:pPr>
            <w:r>
              <w:t>$25M</w:t>
            </w:r>
          </w:p>
        </w:tc>
        <w:tc>
          <w:tcPr>
            <w:tcW w:w="4747" w:type="dxa"/>
          </w:tcPr>
          <w:p w14:paraId="443A8C6C" w14:textId="6A0C75E8" w:rsidR="00B26718" w:rsidRDefault="00B26718">
            <w:r>
              <w:t>Western Hemisphere Center base, Inter-American Defense Board (IADB) as partner</w:t>
            </w:r>
          </w:p>
        </w:tc>
      </w:tr>
      <w:tr w:rsidR="00B26718" w14:paraId="738CECCF" w14:textId="77777777" w:rsidTr="00B26718">
        <w:tc>
          <w:tcPr>
            <w:tcW w:w="3978" w:type="dxa"/>
          </w:tcPr>
          <w:p w14:paraId="0553E3E9" w14:textId="53643B99" w:rsidR="00B26718" w:rsidRDefault="00B26718">
            <w:r>
              <w:t>03 DIA Funds DIA/DO Center or Directorate</w:t>
            </w:r>
          </w:p>
        </w:tc>
        <w:tc>
          <w:tcPr>
            <w:tcW w:w="851" w:type="dxa"/>
          </w:tcPr>
          <w:p w14:paraId="7E5B21C8" w14:textId="474F3E83" w:rsidR="00B26718" w:rsidRDefault="00B26718" w:rsidP="00B26718">
            <w:pPr>
              <w:jc w:val="right"/>
            </w:pPr>
            <w:r>
              <w:t>$25M</w:t>
            </w:r>
          </w:p>
        </w:tc>
        <w:tc>
          <w:tcPr>
            <w:tcW w:w="4747" w:type="dxa"/>
          </w:tcPr>
          <w:p w14:paraId="092BE215" w14:textId="26400CB9" w:rsidR="00B26718" w:rsidRDefault="00B26718">
            <w:r>
              <w:t>Focus on multinational information-sharing and sense-making, Department of State as partner</w:t>
            </w:r>
          </w:p>
        </w:tc>
      </w:tr>
      <w:tr w:rsidR="00B26718" w14:paraId="54DCDBE9" w14:textId="77777777" w:rsidTr="00B26718">
        <w:tc>
          <w:tcPr>
            <w:tcW w:w="3978" w:type="dxa"/>
          </w:tcPr>
          <w:p w14:paraId="0065AF59" w14:textId="6169ED23" w:rsidR="00B26718" w:rsidRDefault="00B26718" w:rsidP="00B26718">
            <w:r>
              <w:t>04 DIA Proposes Defense Open Source Activity (DOSA)</w:t>
            </w:r>
          </w:p>
        </w:tc>
        <w:tc>
          <w:tcPr>
            <w:tcW w:w="851" w:type="dxa"/>
          </w:tcPr>
          <w:p w14:paraId="58049D68" w14:textId="766A9C5A" w:rsidR="00B26718" w:rsidRDefault="00B26718" w:rsidP="00B26718">
            <w:pPr>
              <w:jc w:val="right"/>
            </w:pPr>
            <w:r>
              <w:t>$75M</w:t>
            </w:r>
          </w:p>
        </w:tc>
        <w:tc>
          <w:tcPr>
            <w:tcW w:w="4747" w:type="dxa"/>
          </w:tcPr>
          <w:p w14:paraId="441781D7" w14:textId="2DF80EC7" w:rsidR="00B26718" w:rsidRDefault="00B26718">
            <w:r>
              <w:t>Starts with inventory of estimate</w:t>
            </w:r>
            <w:r w:rsidR="008F175C">
              <w:t>d $1-2B a year scattered expenditu</w:t>
            </w:r>
            <w:r>
              <w:t>r</w:t>
            </w:r>
            <w:r w:rsidR="008F175C">
              <w:t>es, consolidates, eliminates redundancy, applies savings to new capabilities</w:t>
            </w:r>
          </w:p>
        </w:tc>
      </w:tr>
      <w:tr w:rsidR="00B26718" w14:paraId="4081108B" w14:textId="77777777" w:rsidTr="00B26718">
        <w:tc>
          <w:tcPr>
            <w:tcW w:w="3978" w:type="dxa"/>
          </w:tcPr>
          <w:p w14:paraId="37ED6C6F" w14:textId="13D5AA9C" w:rsidR="00B26718" w:rsidRDefault="00B26718" w:rsidP="008F175C">
            <w:r>
              <w:t>0</w:t>
            </w:r>
            <w:r w:rsidR="008F175C">
              <w:t>5 DIA Proposes</w:t>
            </w:r>
            <w:r>
              <w:t xml:space="preserve"> Joint Defense-State national Open Source Agency (OSA)</w:t>
            </w:r>
          </w:p>
        </w:tc>
        <w:tc>
          <w:tcPr>
            <w:tcW w:w="851" w:type="dxa"/>
          </w:tcPr>
          <w:p w14:paraId="2A65C2A8" w14:textId="4078BD12" w:rsidR="00B26718" w:rsidRDefault="00B26718" w:rsidP="00B26718">
            <w:pPr>
              <w:jc w:val="right"/>
            </w:pPr>
            <w:r>
              <w:t>$125M</w:t>
            </w:r>
          </w:p>
        </w:tc>
        <w:tc>
          <w:tcPr>
            <w:tcW w:w="4747" w:type="dxa"/>
          </w:tcPr>
          <w:p w14:paraId="1CE962D4" w14:textId="6860ED37" w:rsidR="00B26718" w:rsidRDefault="00B26718" w:rsidP="00B26718">
            <w:r>
              <w:t xml:space="preserve">Option pre-approved by Office of Management and Budget (OMB), requires SecDef approval, supports Presidential desire to identify do-able cuts while creating 450-ship Navy, long-haul </w:t>
            </w:r>
            <w:r w:rsidR="008F175C">
              <w:t>Air Forces, and air-mobile Army; gives DoD decision-support across all mission areas while also enhancing DoD influence over Whole of Government capacity-building in relation to foreign threats and challenges (e.g. need for civilian surge capacity).</w:t>
            </w:r>
          </w:p>
        </w:tc>
      </w:tr>
    </w:tbl>
    <w:p w14:paraId="79BC230A" w14:textId="56F1CEC5" w:rsidR="00B26718" w:rsidRDefault="00FE4371" w:rsidP="008F175C">
      <w:pPr>
        <w:spacing w:before="200"/>
        <w:rPr>
          <w:b/>
        </w:rPr>
      </w:pPr>
      <w:r>
        <w:rPr>
          <w:b/>
        </w:rPr>
        <w:t>This memorandum explores the substantive pros and cons of the five options. Two additional memoranda discuss location and cost implications of each of the five options.</w:t>
      </w:r>
      <w:r w:rsidR="002032C7">
        <w:rPr>
          <w:b/>
        </w:rPr>
        <w:t xml:space="preserve"> The balance of the Director’s Book provides a draft of the Smart Nation Act; point papers on the need for an OSA, the South American case, and the NATO case; two DoD OSINT briefings; and three background chapters on the evolving craft of intelligence, open source intelligence, and new rules for the new craft of intelligence.</w:t>
      </w:r>
    </w:p>
    <w:p w14:paraId="15ACF42B" w14:textId="11A81F0E" w:rsidR="000F3D9F" w:rsidRPr="000F3D9F" w:rsidRDefault="000F3D9F" w:rsidP="002032C7">
      <w:r>
        <w:rPr>
          <w:b/>
        </w:rPr>
        <w:lastRenderedPageBreak/>
        <w:t xml:space="preserve">Discussion. </w:t>
      </w:r>
      <w:r w:rsidRPr="000F3D9F">
        <w:t>The five options are not exclusive to one another – more than one can be chosen.</w:t>
      </w:r>
    </w:p>
    <w:p w14:paraId="271FCD72" w14:textId="77777777" w:rsidR="002032C7" w:rsidRDefault="00813759" w:rsidP="002032C7">
      <w:pPr>
        <w:rPr>
          <w:b/>
        </w:rPr>
      </w:pPr>
      <w:r w:rsidRPr="00813759">
        <w:rPr>
          <w:b/>
        </w:rPr>
        <w:t>OPTION A: NDU Pilot Project, $5M</w:t>
      </w:r>
    </w:p>
    <w:p w14:paraId="0A194E42" w14:textId="77777777" w:rsidR="00316AF6" w:rsidRDefault="00316AF6" w:rsidP="002032C7">
      <w:pPr>
        <w:rPr>
          <w:b/>
        </w:rPr>
      </w:pPr>
      <w:r>
        <w:rPr>
          <w:b/>
        </w:rPr>
        <w:t xml:space="preserve">Description. </w:t>
      </w:r>
      <w:r w:rsidRPr="000827DA">
        <w:t xml:space="preserve">Within the existing Memorandum </w:t>
      </w:r>
      <w:r w:rsidR="003B3657" w:rsidRPr="000827DA">
        <w:t>of Agreement (MOA-022-234)</w:t>
      </w:r>
      <w:r w:rsidR="000827DA">
        <w:t>, from end-of-year unallocated funds, transfers $5M from DIA to NDU to fund the direct hire of one OSINT Top Gun, and a mix of conferences, workshops, investigative endeavors, and publications intended to demonstrate the educational, intelligence, and research value of open sources and methods not now fully exploited.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13759" w14:paraId="1A0284A6" w14:textId="77777777" w:rsidTr="000F3D9F">
        <w:tc>
          <w:tcPr>
            <w:tcW w:w="4788" w:type="dxa"/>
          </w:tcPr>
          <w:p w14:paraId="07DBE42A" w14:textId="77777777" w:rsidR="00813759" w:rsidRDefault="00813759" w:rsidP="002032C7">
            <w:pPr>
              <w:rPr>
                <w:b/>
              </w:rPr>
            </w:pPr>
            <w:r>
              <w:rPr>
                <w:b/>
              </w:rPr>
              <w:t>Pros</w:t>
            </w:r>
          </w:p>
          <w:p w14:paraId="19CCDCDA" w14:textId="77777777" w:rsidR="00813759" w:rsidRPr="00813759" w:rsidRDefault="00813759" w:rsidP="00813759">
            <w:pPr>
              <w:pStyle w:val="ListParagraph"/>
              <w:numPr>
                <w:ilvl w:val="0"/>
                <w:numId w:val="3"/>
              </w:numPr>
            </w:pPr>
            <w:r w:rsidRPr="00813759">
              <w:t>Simple, inexpensive, no waves</w:t>
            </w:r>
          </w:p>
        </w:tc>
        <w:tc>
          <w:tcPr>
            <w:tcW w:w="4788" w:type="dxa"/>
          </w:tcPr>
          <w:p w14:paraId="63415682" w14:textId="77777777" w:rsidR="00813759" w:rsidRDefault="00813759" w:rsidP="002032C7">
            <w:pPr>
              <w:rPr>
                <w:b/>
              </w:rPr>
            </w:pPr>
            <w:r>
              <w:rPr>
                <w:b/>
              </w:rPr>
              <w:t>Cons</w:t>
            </w:r>
          </w:p>
          <w:p w14:paraId="5CA0A5B9" w14:textId="77777777" w:rsidR="00813759" w:rsidRPr="00316AF6" w:rsidRDefault="00316AF6" w:rsidP="00813759">
            <w:pPr>
              <w:pStyle w:val="ListParagraph"/>
              <w:numPr>
                <w:ilvl w:val="0"/>
                <w:numId w:val="3"/>
              </w:numPr>
            </w:pPr>
            <w:r>
              <w:t>Low impact potential</w:t>
            </w:r>
          </w:p>
        </w:tc>
      </w:tr>
    </w:tbl>
    <w:p w14:paraId="6DA790FF" w14:textId="77777777" w:rsidR="00813759" w:rsidRDefault="00813759" w:rsidP="00813759">
      <w:pPr>
        <w:spacing w:before="200"/>
        <w:rPr>
          <w:b/>
        </w:rPr>
      </w:pPr>
      <w:r w:rsidRPr="00813759">
        <w:rPr>
          <w:b/>
        </w:rPr>
        <w:t>OPTION B:</w:t>
      </w:r>
      <w:r w:rsidR="002032C7" w:rsidRPr="00813759">
        <w:rPr>
          <w:b/>
        </w:rPr>
        <w:t xml:space="preserve"> </w:t>
      </w:r>
      <w:r w:rsidRPr="00813759">
        <w:rPr>
          <w:b/>
        </w:rPr>
        <w:t>NDU/IADB Multi-Year Pilot Focused on Western Hemisphere, $25M</w:t>
      </w:r>
    </w:p>
    <w:p w14:paraId="5072656C" w14:textId="0CC22BB8" w:rsidR="000827DA" w:rsidRDefault="000827DA" w:rsidP="000F3D9F">
      <w:pPr>
        <w:rPr>
          <w:b/>
        </w:rPr>
      </w:pPr>
      <w:r>
        <w:rPr>
          <w:b/>
        </w:rPr>
        <w:t xml:space="preserve">Description. </w:t>
      </w:r>
      <w:r w:rsidRPr="000827DA">
        <w:t xml:space="preserve">Within the existing Memorandum of Agreement </w:t>
      </w:r>
      <w:r>
        <w:t xml:space="preserve">transfers $25M </w:t>
      </w:r>
      <w:r w:rsidR="005B2B3B">
        <w:t xml:space="preserve">in end of year funds </w:t>
      </w:r>
      <w:r>
        <w:t>from DIA to NDU to fund the direct hire of one OSINT Top Gun and a very strong program of multinational engagement that incentivizes the IADB and the Members of the Organization of American States (OAS) in creating a Multinational Decision Support Centre (MDSC) and network; a multinational and multi-sector OSINT requirements process, information-sharing protocols, and multinational analytic agreements; and a pilot project for an open source analytic toolkit building upon UnityNet concepts pioneered by the NDU Center  for Technology and National Security Policy (CTNSP)</w:t>
      </w:r>
      <w:r w:rsidR="000F3D9F">
        <w:t>.</w:t>
      </w:r>
      <w:r w:rsidR="008F175C">
        <w:t xml:space="preserve"> Allocating $1M to IADB will assure rapid buy-in by Chilean General Werther Araya Menghini, who assumed Chairmanship on 13 June 2014. He sponsored meeting in Chile in 2010 at which the M4IS2/OSE</w:t>
      </w:r>
      <w:r w:rsidR="008F175C">
        <w:rPr>
          <w:rStyle w:val="FootnoteReference"/>
        </w:rPr>
        <w:footnoteReference w:id="1"/>
      </w:r>
      <w:r w:rsidR="008F175C">
        <w:t xml:space="preserve"> concept was briefed.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13759" w14:paraId="404DE2CD" w14:textId="77777777" w:rsidTr="000F3D9F">
        <w:tc>
          <w:tcPr>
            <w:tcW w:w="4788" w:type="dxa"/>
          </w:tcPr>
          <w:p w14:paraId="4FA9B188" w14:textId="77777777" w:rsidR="00813759" w:rsidRDefault="00813759" w:rsidP="00C70869">
            <w:pPr>
              <w:rPr>
                <w:b/>
              </w:rPr>
            </w:pPr>
            <w:r>
              <w:rPr>
                <w:b/>
              </w:rPr>
              <w:t>Pros</w:t>
            </w:r>
          </w:p>
          <w:p w14:paraId="3C0C8B51" w14:textId="77777777" w:rsidR="00813759" w:rsidRPr="00316AF6" w:rsidRDefault="00316AF6" w:rsidP="00316AF6">
            <w:pPr>
              <w:pStyle w:val="ListParagraph"/>
              <w:numPr>
                <w:ilvl w:val="0"/>
                <w:numId w:val="3"/>
              </w:numPr>
            </w:pPr>
            <w:r w:rsidRPr="00316AF6">
              <w:t>Relatively inexpensive</w:t>
            </w:r>
          </w:p>
          <w:p w14:paraId="48498542" w14:textId="77777777" w:rsidR="00316AF6" w:rsidRPr="00316AF6" w:rsidRDefault="00316AF6" w:rsidP="00316AF6">
            <w:pPr>
              <w:pStyle w:val="ListParagraph"/>
              <w:numPr>
                <w:ilvl w:val="0"/>
                <w:numId w:val="3"/>
              </w:numPr>
              <w:rPr>
                <w:b/>
              </w:rPr>
            </w:pPr>
            <w:r w:rsidRPr="00316AF6">
              <w:t>Adds</w:t>
            </w:r>
            <w:r>
              <w:rPr>
                <w:b/>
              </w:rPr>
              <w:t xml:space="preserve"> </w:t>
            </w:r>
            <w:r w:rsidRPr="00316AF6">
              <w:t>multinational aspect</w:t>
            </w:r>
            <w:r>
              <w:t xml:space="preserve"> with IADB</w:t>
            </w:r>
          </w:p>
          <w:p w14:paraId="4789FEDB" w14:textId="77777777" w:rsidR="00316AF6" w:rsidRPr="000F3D9F" w:rsidRDefault="00316AF6" w:rsidP="00316AF6">
            <w:pPr>
              <w:pStyle w:val="ListParagraph"/>
              <w:numPr>
                <w:ilvl w:val="0"/>
                <w:numId w:val="3"/>
              </w:numPr>
              <w:rPr>
                <w:b/>
              </w:rPr>
            </w:pPr>
            <w:r>
              <w:t>Potentially includes all eight networks</w:t>
            </w:r>
            <w:r>
              <w:rPr>
                <w:rStyle w:val="FootnoteReference"/>
              </w:rPr>
              <w:footnoteReference w:id="2"/>
            </w:r>
          </w:p>
          <w:p w14:paraId="1402F526" w14:textId="77777777" w:rsidR="000F3D9F" w:rsidRPr="000F3D9F" w:rsidRDefault="000F3D9F" w:rsidP="00316AF6">
            <w:pPr>
              <w:pStyle w:val="ListParagraph"/>
              <w:numPr>
                <w:ilvl w:val="0"/>
                <w:numId w:val="3"/>
              </w:numPr>
              <w:rPr>
                <w:b/>
              </w:rPr>
            </w:pPr>
            <w:r>
              <w:t>Creates a tangible center and network</w:t>
            </w:r>
          </w:p>
          <w:p w14:paraId="50836142" w14:textId="77777777" w:rsidR="000F3D9F" w:rsidRPr="00316AF6" w:rsidRDefault="000F3D9F" w:rsidP="00316AF6">
            <w:pPr>
              <w:pStyle w:val="ListParagraph"/>
              <w:numPr>
                <w:ilvl w:val="0"/>
                <w:numId w:val="3"/>
              </w:numPr>
              <w:rPr>
                <w:b/>
              </w:rPr>
            </w:pPr>
            <w:r>
              <w:t>Creates a tangible analytic tool-kit</w:t>
            </w:r>
          </w:p>
        </w:tc>
        <w:tc>
          <w:tcPr>
            <w:tcW w:w="4788" w:type="dxa"/>
          </w:tcPr>
          <w:p w14:paraId="5B37127E" w14:textId="77777777" w:rsidR="00813759" w:rsidRDefault="00813759" w:rsidP="00C70869">
            <w:pPr>
              <w:rPr>
                <w:b/>
              </w:rPr>
            </w:pPr>
            <w:r>
              <w:rPr>
                <w:b/>
              </w:rPr>
              <w:t>Cons</w:t>
            </w:r>
          </w:p>
          <w:p w14:paraId="6ACD4CBA" w14:textId="77777777" w:rsidR="00316AF6" w:rsidRDefault="00316AF6" w:rsidP="00316AF6">
            <w:pPr>
              <w:pStyle w:val="ListParagraph"/>
              <w:numPr>
                <w:ilvl w:val="0"/>
                <w:numId w:val="4"/>
              </w:numPr>
            </w:pPr>
            <w:r w:rsidRPr="00316AF6">
              <w:t>Neglects other vital regions</w:t>
            </w:r>
          </w:p>
          <w:p w14:paraId="61057D6B" w14:textId="77777777" w:rsidR="000F3D9F" w:rsidRDefault="000F3D9F" w:rsidP="00316AF6">
            <w:pPr>
              <w:pStyle w:val="ListParagraph"/>
              <w:numPr>
                <w:ilvl w:val="0"/>
                <w:numId w:val="4"/>
              </w:numPr>
            </w:pPr>
            <w:r>
              <w:t>Neglect defense-wide consolidation</w:t>
            </w:r>
          </w:p>
          <w:p w14:paraId="2AA969D5" w14:textId="77777777" w:rsidR="000F3D9F" w:rsidRPr="00316AF6" w:rsidRDefault="000F3D9F" w:rsidP="00316AF6">
            <w:pPr>
              <w:pStyle w:val="ListParagraph"/>
              <w:numPr>
                <w:ilvl w:val="0"/>
                <w:numId w:val="4"/>
              </w:numPr>
            </w:pPr>
            <w:r>
              <w:t>Neglects national/global opportunity</w:t>
            </w:r>
          </w:p>
        </w:tc>
      </w:tr>
    </w:tbl>
    <w:p w14:paraId="0702A4D3" w14:textId="77777777" w:rsidR="00813759" w:rsidRDefault="00813759" w:rsidP="00813759">
      <w:pPr>
        <w:spacing w:before="200"/>
        <w:rPr>
          <w:b/>
        </w:rPr>
      </w:pPr>
      <w:r w:rsidRPr="00813759">
        <w:rPr>
          <w:b/>
        </w:rPr>
        <w:t>OPTION C: DIA OSINT/Open Source IT Directorate or Center, $25M, with or without DoD OS Program</w:t>
      </w:r>
    </w:p>
    <w:p w14:paraId="0B79D7AC" w14:textId="6D340571" w:rsidR="000F3D9F" w:rsidRDefault="000F3D9F" w:rsidP="00813759">
      <w:pPr>
        <w:spacing w:before="200"/>
        <w:rPr>
          <w:b/>
        </w:rPr>
      </w:pPr>
      <w:r>
        <w:rPr>
          <w:b/>
        </w:rPr>
        <w:t xml:space="preserve">Description. </w:t>
      </w:r>
      <w:r w:rsidRPr="000F3D9F">
        <w:t xml:space="preserve">Within DIA, realigns $25M in end-of-year funds to a potential new Directorate first housed within DIA/DH toward the day it can become DIA/DO, or as a “hybrid” innovation center that both optimizes human open source discovery and exploitation and the discovery and integration of open source information technologies </w:t>
      </w:r>
      <w:r w:rsidR="008F175C">
        <w:t>for</w:t>
      </w:r>
      <w:r w:rsidRPr="000F3D9F">
        <w:t xml:space="preserve"> multinational multiagency information-sharing and s</w:t>
      </w:r>
      <w:r>
        <w:t>ense-making.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13759" w14:paraId="7909733C" w14:textId="77777777" w:rsidTr="000F3D9F">
        <w:tc>
          <w:tcPr>
            <w:tcW w:w="4788" w:type="dxa"/>
          </w:tcPr>
          <w:p w14:paraId="5C538A9E" w14:textId="77777777" w:rsidR="00813759" w:rsidRDefault="00813759" w:rsidP="00C70869">
            <w:pPr>
              <w:rPr>
                <w:b/>
              </w:rPr>
            </w:pPr>
            <w:r>
              <w:rPr>
                <w:b/>
              </w:rPr>
              <w:t>Pros</w:t>
            </w:r>
          </w:p>
          <w:p w14:paraId="0BF9C4E4" w14:textId="77777777" w:rsidR="00813759" w:rsidRPr="00316AF6" w:rsidRDefault="00316AF6" w:rsidP="00316AF6">
            <w:pPr>
              <w:pStyle w:val="ListParagraph"/>
              <w:numPr>
                <w:ilvl w:val="0"/>
                <w:numId w:val="3"/>
              </w:numPr>
              <w:rPr>
                <w:b/>
              </w:rPr>
            </w:pPr>
            <w:r>
              <w:t>Allows next director to start with a base</w:t>
            </w:r>
          </w:p>
          <w:p w14:paraId="08030B1D" w14:textId="77777777" w:rsidR="00316AF6" w:rsidRPr="000F3D9F" w:rsidRDefault="00316AF6" w:rsidP="00316AF6">
            <w:pPr>
              <w:pStyle w:val="ListParagraph"/>
              <w:numPr>
                <w:ilvl w:val="0"/>
                <w:numId w:val="3"/>
              </w:numPr>
              <w:rPr>
                <w:b/>
              </w:rPr>
            </w:pPr>
            <w:r>
              <w:t>Sets stage for DoD-wide inventory over a year</w:t>
            </w:r>
          </w:p>
          <w:p w14:paraId="77CE186C" w14:textId="77777777" w:rsidR="000F3D9F" w:rsidRPr="000F3D9F" w:rsidRDefault="000F3D9F" w:rsidP="000F3D9F">
            <w:pPr>
              <w:pStyle w:val="ListParagraph"/>
              <w:numPr>
                <w:ilvl w:val="0"/>
                <w:numId w:val="3"/>
              </w:numPr>
              <w:rPr>
                <w:b/>
              </w:rPr>
            </w:pPr>
            <w:r>
              <w:t>May achieve savings from consolidation</w:t>
            </w:r>
          </w:p>
        </w:tc>
        <w:tc>
          <w:tcPr>
            <w:tcW w:w="4788" w:type="dxa"/>
          </w:tcPr>
          <w:p w14:paraId="388BCC9D" w14:textId="77777777" w:rsidR="00813759" w:rsidRDefault="00813759" w:rsidP="00C70869">
            <w:pPr>
              <w:rPr>
                <w:b/>
              </w:rPr>
            </w:pPr>
            <w:r>
              <w:rPr>
                <w:b/>
              </w:rPr>
              <w:t>Cons</w:t>
            </w:r>
          </w:p>
          <w:p w14:paraId="663573BB" w14:textId="77777777" w:rsidR="00316AF6" w:rsidRPr="00316AF6" w:rsidRDefault="00316AF6" w:rsidP="00316AF6">
            <w:pPr>
              <w:pStyle w:val="ListParagraph"/>
              <w:numPr>
                <w:ilvl w:val="0"/>
                <w:numId w:val="3"/>
              </w:numPr>
              <w:rPr>
                <w:b/>
              </w:rPr>
            </w:pPr>
            <w:r>
              <w:t>Avoids taking on the full problem now</w:t>
            </w:r>
          </w:p>
          <w:p w14:paraId="2BA5BED3" w14:textId="77777777" w:rsidR="00316AF6" w:rsidRPr="000F3D9F" w:rsidRDefault="00316AF6" w:rsidP="00316AF6">
            <w:pPr>
              <w:pStyle w:val="ListParagraph"/>
              <w:numPr>
                <w:ilvl w:val="0"/>
                <w:numId w:val="3"/>
              </w:numPr>
              <w:rPr>
                <w:b/>
              </w:rPr>
            </w:pPr>
            <w:r>
              <w:t>Internal resistance likely</w:t>
            </w:r>
          </w:p>
          <w:p w14:paraId="10968217" w14:textId="77777777" w:rsidR="000F3D9F" w:rsidRPr="00316AF6" w:rsidRDefault="000F3D9F" w:rsidP="00316AF6">
            <w:pPr>
              <w:pStyle w:val="ListParagraph"/>
              <w:numPr>
                <w:ilvl w:val="0"/>
                <w:numId w:val="3"/>
              </w:numPr>
              <w:rPr>
                <w:b/>
              </w:rPr>
            </w:pPr>
            <w:r>
              <w:t>Will not accelerate innovation in near term</w:t>
            </w:r>
          </w:p>
        </w:tc>
      </w:tr>
    </w:tbl>
    <w:p w14:paraId="7A96BE8D" w14:textId="77777777" w:rsidR="00813759" w:rsidRDefault="00813759" w:rsidP="00813759">
      <w:pPr>
        <w:spacing w:before="200"/>
        <w:rPr>
          <w:b/>
        </w:rPr>
      </w:pPr>
      <w:r w:rsidRPr="00813759">
        <w:rPr>
          <w:b/>
        </w:rPr>
        <w:lastRenderedPageBreak/>
        <w:t>OPTION D: DOSA, DoD consolidation of $1B</w:t>
      </w:r>
    </w:p>
    <w:p w14:paraId="04192DDF" w14:textId="77777777" w:rsidR="000F3D9F" w:rsidRPr="000F3D9F" w:rsidRDefault="000F3D9F" w:rsidP="00813759">
      <w:pPr>
        <w:spacing w:before="200"/>
      </w:pPr>
      <w:r>
        <w:rPr>
          <w:b/>
        </w:rPr>
        <w:t xml:space="preserve">Description: </w:t>
      </w:r>
      <w:r>
        <w:t>Proposes to the SecDef a complete inventory of all existing DoD investments in both OSINT and in open source information technologies (both capabilities and gapped requirements), followed by the creation of DOSA as a Joint Chiefs of Staff activity</w:t>
      </w:r>
      <w:r w:rsidR="00717E44">
        <w:t>. DOSA would be divided into strategic, policy, acquisition, and operations support units, and be charged with radically enhancing the provision of evidence-based decision-support to SecDef, the Service chiefs, and the theater commanders. It would also be charged with providing open source decision-support relevant to shaping Whole of Government, particularly civilian gaps in capabilities needed for conflict prevention and for stabilization &amp; reconstruction.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13759" w14:paraId="5103E3E3" w14:textId="77777777" w:rsidTr="00717E44">
        <w:tc>
          <w:tcPr>
            <w:tcW w:w="4788" w:type="dxa"/>
          </w:tcPr>
          <w:p w14:paraId="55018739" w14:textId="77777777" w:rsidR="00813759" w:rsidRDefault="00813759" w:rsidP="00C70869">
            <w:pPr>
              <w:rPr>
                <w:b/>
              </w:rPr>
            </w:pPr>
            <w:r>
              <w:rPr>
                <w:b/>
              </w:rPr>
              <w:t>Pros</w:t>
            </w:r>
          </w:p>
          <w:p w14:paraId="36AD6CED" w14:textId="77777777" w:rsidR="00813759" w:rsidRDefault="00813759" w:rsidP="00813759">
            <w:pPr>
              <w:pStyle w:val="ListParagraph"/>
              <w:numPr>
                <w:ilvl w:val="0"/>
                <w:numId w:val="3"/>
              </w:numPr>
            </w:pPr>
            <w:r w:rsidRPr="00813759">
              <w:t>Helps SefDef consolidate &amp; achieve savings</w:t>
            </w:r>
          </w:p>
          <w:p w14:paraId="3638840F" w14:textId="77777777" w:rsidR="00316AF6" w:rsidRDefault="00316AF6" w:rsidP="00813759">
            <w:pPr>
              <w:pStyle w:val="ListParagraph"/>
              <w:numPr>
                <w:ilvl w:val="0"/>
                <w:numId w:val="3"/>
              </w:numPr>
            </w:pPr>
            <w:r>
              <w:t>Forces issue of OSINT support to strategy, policy, acquisition, and operations as DoD-wide functions</w:t>
            </w:r>
          </w:p>
          <w:p w14:paraId="312F03A0" w14:textId="77777777" w:rsidR="00316AF6" w:rsidRPr="00813759" w:rsidRDefault="00316AF6" w:rsidP="00813759">
            <w:pPr>
              <w:pStyle w:val="ListParagraph"/>
              <w:numPr>
                <w:ilvl w:val="0"/>
                <w:numId w:val="3"/>
              </w:numPr>
            </w:pPr>
            <w:r>
              <w:t>Allows DoD-wide focus on open source information technology in relation to all of the joint mission areas</w:t>
            </w:r>
          </w:p>
        </w:tc>
        <w:tc>
          <w:tcPr>
            <w:tcW w:w="4788" w:type="dxa"/>
          </w:tcPr>
          <w:p w14:paraId="73AAD23C" w14:textId="77777777" w:rsidR="00813759" w:rsidRDefault="00813759" w:rsidP="00C70869">
            <w:pPr>
              <w:rPr>
                <w:b/>
              </w:rPr>
            </w:pPr>
            <w:r>
              <w:rPr>
                <w:b/>
              </w:rPr>
              <w:t>Cons</w:t>
            </w:r>
          </w:p>
          <w:p w14:paraId="7B504214" w14:textId="21C02386" w:rsidR="00813759" w:rsidRPr="00316AF6" w:rsidRDefault="008F175C" w:rsidP="008F175C">
            <w:pPr>
              <w:pStyle w:val="ListParagraph"/>
              <w:numPr>
                <w:ilvl w:val="0"/>
                <w:numId w:val="3"/>
              </w:numPr>
            </w:pPr>
            <w:r>
              <w:t>May</w:t>
            </w:r>
            <w:r w:rsidR="00316AF6" w:rsidRPr="00316AF6">
              <w:t xml:space="preserve"> be resisted by </w:t>
            </w:r>
            <w:r>
              <w:t>existing program managers</w:t>
            </w:r>
          </w:p>
        </w:tc>
      </w:tr>
    </w:tbl>
    <w:p w14:paraId="1D4A6797" w14:textId="77777777" w:rsidR="002032C7" w:rsidRDefault="00813759" w:rsidP="00813759">
      <w:pPr>
        <w:spacing w:before="200"/>
        <w:rPr>
          <w:b/>
        </w:rPr>
      </w:pPr>
      <w:r w:rsidRPr="00813759">
        <w:rPr>
          <w:b/>
        </w:rPr>
        <w:t>OPTION E:</w:t>
      </w:r>
      <w:r w:rsidR="002032C7" w:rsidRPr="00813759">
        <w:rPr>
          <w:b/>
        </w:rPr>
        <w:t xml:space="preserve"> </w:t>
      </w:r>
      <w:r w:rsidRPr="00813759">
        <w:rPr>
          <w:b/>
        </w:rPr>
        <w:t>OSA, Smart Nation Act, $125M IOC toward $2B FOC</w:t>
      </w:r>
    </w:p>
    <w:p w14:paraId="4A74C374" w14:textId="77777777" w:rsidR="000F3D9F" w:rsidRPr="00717E44" w:rsidRDefault="000F3D9F" w:rsidP="00813759">
      <w:pPr>
        <w:spacing w:before="200"/>
      </w:pPr>
      <w:r>
        <w:rPr>
          <w:b/>
        </w:rPr>
        <w:t>Description:</w:t>
      </w:r>
      <w:r w:rsidR="00717E44">
        <w:rPr>
          <w:b/>
        </w:rPr>
        <w:t xml:space="preserve"> </w:t>
      </w:r>
      <w:r w:rsidR="00717E44">
        <w:t>Creates a national OSA with four major elements: a Whole of Government capacity to provide decision-support to every Executive agency and department along with their Congressional oversight committees (shared view of the challenges and costs); a domestic capability to unify and enhance the ability of the eight information networks to share information and analysis toward enhancing state and local prosperity; a Multinational Decision Support Centre and related activities such as the School of Future-Oriented Hybrid Governance and the World Brain Institute directly relevant to reinventing intelligence so as to re-engineer the Earth – instilling holistic analytics and true cost economics as the foundation for ethical evidence-based decision-support across all boundaries.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13759" w14:paraId="0D450B1F" w14:textId="77777777" w:rsidTr="00717E44">
        <w:tc>
          <w:tcPr>
            <w:tcW w:w="4788" w:type="dxa"/>
          </w:tcPr>
          <w:p w14:paraId="7C7B0A6F" w14:textId="5FD89E75" w:rsidR="00813759" w:rsidRDefault="00813759" w:rsidP="00C70869">
            <w:pPr>
              <w:rPr>
                <w:b/>
              </w:rPr>
            </w:pPr>
            <w:r>
              <w:rPr>
                <w:b/>
              </w:rPr>
              <w:t>Pros</w:t>
            </w:r>
          </w:p>
          <w:p w14:paraId="67546865" w14:textId="2C35D4DE" w:rsidR="00287F81" w:rsidRDefault="00287F81" w:rsidP="00813759">
            <w:pPr>
              <w:pStyle w:val="ListParagraph"/>
              <w:numPr>
                <w:ilvl w:val="0"/>
                <w:numId w:val="3"/>
              </w:numPr>
            </w:pPr>
            <w:r>
              <w:t xml:space="preserve">Legacy for </w:t>
            </w:r>
            <w:proofErr w:type="spellStart"/>
            <w:r>
              <w:t>SecDef</w:t>
            </w:r>
            <w:proofErr w:type="spellEnd"/>
            <w:r>
              <w:t xml:space="preserve"> and President</w:t>
            </w:r>
          </w:p>
          <w:p w14:paraId="6F926FD1" w14:textId="63579119" w:rsidR="00287F81" w:rsidRDefault="00287F81" w:rsidP="00287F81">
            <w:pPr>
              <w:pStyle w:val="ListParagraph"/>
              <w:numPr>
                <w:ilvl w:val="0"/>
                <w:numId w:val="3"/>
              </w:numPr>
            </w:pPr>
            <w:r>
              <w:t>Addresses public anger over secret intrusion</w:t>
            </w:r>
          </w:p>
          <w:p w14:paraId="174C479A" w14:textId="77777777" w:rsidR="00813759" w:rsidRDefault="00813759" w:rsidP="00813759">
            <w:pPr>
              <w:pStyle w:val="ListParagraph"/>
              <w:numPr>
                <w:ilvl w:val="0"/>
                <w:numId w:val="3"/>
              </w:numPr>
            </w:pPr>
            <w:r w:rsidRPr="00813759">
              <w:t>Only option that does Whole of Government</w:t>
            </w:r>
          </w:p>
          <w:p w14:paraId="64639B69" w14:textId="77777777" w:rsidR="00316AF6" w:rsidRDefault="00316AF6" w:rsidP="00813759">
            <w:pPr>
              <w:pStyle w:val="ListParagraph"/>
              <w:numPr>
                <w:ilvl w:val="0"/>
                <w:numId w:val="3"/>
              </w:numPr>
            </w:pPr>
            <w:r>
              <w:t>Only option that harnesses domestic networks</w:t>
            </w:r>
          </w:p>
          <w:p w14:paraId="5C4DFB63" w14:textId="77777777" w:rsidR="000F3D9F" w:rsidRDefault="000F3D9F" w:rsidP="00813759">
            <w:pPr>
              <w:pStyle w:val="ListParagraph"/>
              <w:numPr>
                <w:ilvl w:val="0"/>
                <w:numId w:val="3"/>
              </w:numPr>
            </w:pPr>
            <w:r>
              <w:t>Only option that can go fully multinational</w:t>
            </w:r>
          </w:p>
          <w:p w14:paraId="36B1E28D" w14:textId="77777777" w:rsidR="00717E44" w:rsidRDefault="00717E44" w:rsidP="00813759">
            <w:pPr>
              <w:pStyle w:val="ListParagraph"/>
              <w:numPr>
                <w:ilvl w:val="0"/>
                <w:numId w:val="3"/>
              </w:numPr>
            </w:pPr>
            <w:r>
              <w:t>Immediate impact on theater strategies</w:t>
            </w:r>
          </w:p>
          <w:p w14:paraId="614D100A" w14:textId="77777777" w:rsidR="00717E44" w:rsidRDefault="00717E44" w:rsidP="00813759">
            <w:pPr>
              <w:pStyle w:val="ListParagraph"/>
              <w:numPr>
                <w:ilvl w:val="0"/>
                <w:numId w:val="3"/>
              </w:numPr>
            </w:pPr>
            <w:r>
              <w:t>Immediate impact on Service acquisition</w:t>
            </w:r>
          </w:p>
          <w:p w14:paraId="646D4126" w14:textId="77777777" w:rsidR="00717E44" w:rsidRDefault="00717E44" w:rsidP="00813759">
            <w:pPr>
              <w:pStyle w:val="ListParagraph"/>
              <w:numPr>
                <w:ilvl w:val="0"/>
                <w:numId w:val="3"/>
              </w:numPr>
            </w:pPr>
            <w:r>
              <w:t>Immediate impact on theater operations</w:t>
            </w:r>
          </w:p>
          <w:p w14:paraId="4E692FC3" w14:textId="77777777" w:rsidR="00717E44" w:rsidRDefault="00717E44" w:rsidP="00717E44">
            <w:pPr>
              <w:pStyle w:val="ListParagraph"/>
              <w:numPr>
                <w:ilvl w:val="0"/>
                <w:numId w:val="3"/>
              </w:numPr>
            </w:pPr>
            <w:r>
              <w:t>Possible impact on Cabinet policies</w:t>
            </w:r>
          </w:p>
          <w:p w14:paraId="345A2754" w14:textId="77777777" w:rsidR="00717E44" w:rsidRDefault="00717E44" w:rsidP="00813759">
            <w:pPr>
              <w:pStyle w:val="ListParagraph"/>
              <w:numPr>
                <w:ilvl w:val="0"/>
                <w:numId w:val="3"/>
              </w:numPr>
            </w:pPr>
            <w:r>
              <w:t>Beneficial to Congressional oversight</w:t>
            </w:r>
          </w:p>
          <w:p w14:paraId="01A3930B" w14:textId="77777777" w:rsidR="000F3D9F" w:rsidRDefault="000F3D9F" w:rsidP="00813759">
            <w:pPr>
              <w:pStyle w:val="ListParagraph"/>
              <w:numPr>
                <w:ilvl w:val="0"/>
                <w:numId w:val="3"/>
              </w:numPr>
            </w:pPr>
            <w:r>
              <w:t>Avoids internal DoD resistance</w:t>
            </w:r>
          </w:p>
          <w:p w14:paraId="7B4CB215" w14:textId="77777777" w:rsidR="000F3D9F" w:rsidRPr="00813759" w:rsidRDefault="000F3D9F" w:rsidP="00813759">
            <w:pPr>
              <w:pStyle w:val="ListParagraph"/>
              <w:numPr>
                <w:ilvl w:val="0"/>
                <w:numId w:val="3"/>
              </w:numPr>
            </w:pPr>
            <w:r>
              <w:t>Avoids CIA’s self-imposed handicaps</w:t>
            </w:r>
          </w:p>
        </w:tc>
        <w:tc>
          <w:tcPr>
            <w:tcW w:w="4788" w:type="dxa"/>
          </w:tcPr>
          <w:p w14:paraId="4858CC76" w14:textId="77777777" w:rsidR="00813759" w:rsidRDefault="00813759" w:rsidP="00C70869">
            <w:pPr>
              <w:rPr>
                <w:b/>
              </w:rPr>
            </w:pPr>
            <w:r>
              <w:rPr>
                <w:b/>
              </w:rPr>
              <w:t>Cons</w:t>
            </w:r>
          </w:p>
          <w:p w14:paraId="11A8A16A" w14:textId="42C757B3" w:rsidR="00813759" w:rsidRPr="00813759" w:rsidRDefault="00813759" w:rsidP="008F175C">
            <w:pPr>
              <w:pStyle w:val="ListParagraph"/>
              <w:numPr>
                <w:ilvl w:val="0"/>
                <w:numId w:val="3"/>
              </w:numPr>
            </w:pPr>
            <w:r w:rsidRPr="00813759">
              <w:t>Requires staffing and legislation</w:t>
            </w:r>
          </w:p>
        </w:tc>
      </w:tr>
    </w:tbl>
    <w:p w14:paraId="31664CF7" w14:textId="77777777" w:rsidR="00287F81" w:rsidRDefault="00287F81">
      <w:pPr>
        <w:rPr>
          <w:b/>
        </w:rPr>
      </w:pPr>
    </w:p>
    <w:sectPr w:rsidR="00287F81" w:rsidSect="0036321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64B39" w14:textId="77777777" w:rsidR="002854E1" w:rsidRDefault="002854E1" w:rsidP="00DD588E">
      <w:pPr>
        <w:spacing w:after="0" w:line="240" w:lineRule="auto"/>
      </w:pPr>
      <w:r>
        <w:separator/>
      </w:r>
    </w:p>
  </w:endnote>
  <w:endnote w:type="continuationSeparator" w:id="0">
    <w:p w14:paraId="25FAA860" w14:textId="77777777" w:rsidR="002854E1" w:rsidRDefault="002854E1" w:rsidP="00DD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486435"/>
      <w:docPartObj>
        <w:docPartGallery w:val="Page Numbers (Bottom of Page)"/>
        <w:docPartUnique/>
      </w:docPartObj>
    </w:sdtPr>
    <w:sdtEndPr/>
    <w:sdtContent>
      <w:sdt>
        <w:sdtPr>
          <w:id w:val="-1669238322"/>
          <w:docPartObj>
            <w:docPartGallery w:val="Page Numbers (Top of Page)"/>
            <w:docPartUnique/>
          </w:docPartObj>
        </w:sdtPr>
        <w:sdtEndPr/>
        <w:sdtContent>
          <w:p w14:paraId="09D8F092" w14:textId="77777777" w:rsidR="003D494E" w:rsidRDefault="003D49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C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CF3">
              <w:rPr>
                <w:b/>
                <w:bCs/>
                <w:noProof/>
              </w:rPr>
              <w:t>3</w:t>
            </w:r>
            <w:r>
              <w:rPr>
                <w:b/>
                <w:bCs/>
                <w:sz w:val="24"/>
                <w:szCs w:val="24"/>
              </w:rPr>
              <w:fldChar w:fldCharType="end"/>
            </w:r>
          </w:p>
        </w:sdtContent>
      </w:sdt>
    </w:sdtContent>
  </w:sdt>
  <w:p w14:paraId="6291D5D2" w14:textId="77777777" w:rsidR="003D494E" w:rsidRDefault="003D4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1CACA" w14:textId="77777777" w:rsidR="002854E1" w:rsidRDefault="002854E1" w:rsidP="00DD588E">
      <w:pPr>
        <w:spacing w:after="0" w:line="240" w:lineRule="auto"/>
      </w:pPr>
      <w:r>
        <w:separator/>
      </w:r>
    </w:p>
  </w:footnote>
  <w:footnote w:type="continuationSeparator" w:id="0">
    <w:p w14:paraId="1787B5A6" w14:textId="77777777" w:rsidR="002854E1" w:rsidRDefault="002854E1" w:rsidP="00DD588E">
      <w:pPr>
        <w:spacing w:after="0" w:line="240" w:lineRule="auto"/>
      </w:pPr>
      <w:r>
        <w:continuationSeparator/>
      </w:r>
    </w:p>
  </w:footnote>
  <w:footnote w:id="1">
    <w:p w14:paraId="489B4445" w14:textId="77777777" w:rsidR="008F175C" w:rsidRDefault="008F175C">
      <w:pPr>
        <w:pStyle w:val="FootnoteText"/>
      </w:pPr>
      <w:r>
        <w:rPr>
          <w:rStyle w:val="FootnoteReference"/>
        </w:rPr>
        <w:footnoteRef/>
      </w:r>
      <w:r>
        <w:t xml:space="preserve"> M4IS2: Multinational, Multiagency, Multidisciplinary, Multidomain Information-Sharing and Sense-Making</w:t>
      </w:r>
    </w:p>
    <w:p w14:paraId="47976852" w14:textId="7A1D955B" w:rsidR="008F175C" w:rsidRDefault="008F175C">
      <w:pPr>
        <w:pStyle w:val="FootnoteText"/>
      </w:pPr>
      <w:r>
        <w:t>OSE: Open Source Everything.</w:t>
      </w:r>
    </w:p>
  </w:footnote>
  <w:footnote w:id="2">
    <w:p w14:paraId="47359104" w14:textId="77777777" w:rsidR="003D494E" w:rsidRDefault="003D494E">
      <w:pPr>
        <w:pStyle w:val="FootnoteText"/>
      </w:pPr>
      <w:r>
        <w:rPr>
          <w:rStyle w:val="FootnoteReference"/>
        </w:rPr>
        <w:footnoteRef/>
      </w:r>
      <w:r>
        <w:t xml:space="preserve"> Academic, Civil Society (including Labor and Religion), Commerce, Government, Law Enforcement, Media, Military, Non-Government/Non-Profit.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30F"/>
    <w:multiLevelType w:val="hybridMultilevel"/>
    <w:tmpl w:val="FCA87F58"/>
    <w:lvl w:ilvl="0" w:tplc="EEB8B36E">
      <w:start w:val="1"/>
      <w:numFmt w:val="bullet"/>
      <w:lvlText w:val="•"/>
      <w:lvlJc w:val="left"/>
      <w:pPr>
        <w:tabs>
          <w:tab w:val="num" w:pos="720"/>
        </w:tabs>
        <w:ind w:left="720" w:hanging="360"/>
      </w:pPr>
      <w:rPr>
        <w:rFonts w:ascii="Arial" w:hAnsi="Arial" w:hint="default"/>
      </w:rPr>
    </w:lvl>
    <w:lvl w:ilvl="1" w:tplc="314ED572" w:tentative="1">
      <w:start w:val="1"/>
      <w:numFmt w:val="bullet"/>
      <w:lvlText w:val="•"/>
      <w:lvlJc w:val="left"/>
      <w:pPr>
        <w:tabs>
          <w:tab w:val="num" w:pos="1440"/>
        </w:tabs>
        <w:ind w:left="1440" w:hanging="360"/>
      </w:pPr>
      <w:rPr>
        <w:rFonts w:ascii="Arial" w:hAnsi="Arial" w:hint="default"/>
      </w:rPr>
    </w:lvl>
    <w:lvl w:ilvl="2" w:tplc="FD5C41A2" w:tentative="1">
      <w:start w:val="1"/>
      <w:numFmt w:val="bullet"/>
      <w:lvlText w:val="•"/>
      <w:lvlJc w:val="left"/>
      <w:pPr>
        <w:tabs>
          <w:tab w:val="num" w:pos="2160"/>
        </w:tabs>
        <w:ind w:left="2160" w:hanging="360"/>
      </w:pPr>
      <w:rPr>
        <w:rFonts w:ascii="Arial" w:hAnsi="Arial" w:hint="default"/>
      </w:rPr>
    </w:lvl>
    <w:lvl w:ilvl="3" w:tplc="54280380" w:tentative="1">
      <w:start w:val="1"/>
      <w:numFmt w:val="bullet"/>
      <w:lvlText w:val="•"/>
      <w:lvlJc w:val="left"/>
      <w:pPr>
        <w:tabs>
          <w:tab w:val="num" w:pos="2880"/>
        </w:tabs>
        <w:ind w:left="2880" w:hanging="360"/>
      </w:pPr>
      <w:rPr>
        <w:rFonts w:ascii="Arial" w:hAnsi="Arial" w:hint="default"/>
      </w:rPr>
    </w:lvl>
    <w:lvl w:ilvl="4" w:tplc="B62C48B0" w:tentative="1">
      <w:start w:val="1"/>
      <w:numFmt w:val="bullet"/>
      <w:lvlText w:val="•"/>
      <w:lvlJc w:val="left"/>
      <w:pPr>
        <w:tabs>
          <w:tab w:val="num" w:pos="3600"/>
        </w:tabs>
        <w:ind w:left="3600" w:hanging="360"/>
      </w:pPr>
      <w:rPr>
        <w:rFonts w:ascii="Arial" w:hAnsi="Arial" w:hint="default"/>
      </w:rPr>
    </w:lvl>
    <w:lvl w:ilvl="5" w:tplc="0A34D43A" w:tentative="1">
      <w:start w:val="1"/>
      <w:numFmt w:val="bullet"/>
      <w:lvlText w:val="•"/>
      <w:lvlJc w:val="left"/>
      <w:pPr>
        <w:tabs>
          <w:tab w:val="num" w:pos="4320"/>
        </w:tabs>
        <w:ind w:left="4320" w:hanging="360"/>
      </w:pPr>
      <w:rPr>
        <w:rFonts w:ascii="Arial" w:hAnsi="Arial" w:hint="default"/>
      </w:rPr>
    </w:lvl>
    <w:lvl w:ilvl="6" w:tplc="56B83E42" w:tentative="1">
      <w:start w:val="1"/>
      <w:numFmt w:val="bullet"/>
      <w:lvlText w:val="•"/>
      <w:lvlJc w:val="left"/>
      <w:pPr>
        <w:tabs>
          <w:tab w:val="num" w:pos="5040"/>
        </w:tabs>
        <w:ind w:left="5040" w:hanging="360"/>
      </w:pPr>
      <w:rPr>
        <w:rFonts w:ascii="Arial" w:hAnsi="Arial" w:hint="default"/>
      </w:rPr>
    </w:lvl>
    <w:lvl w:ilvl="7" w:tplc="D52A253C" w:tentative="1">
      <w:start w:val="1"/>
      <w:numFmt w:val="bullet"/>
      <w:lvlText w:val="•"/>
      <w:lvlJc w:val="left"/>
      <w:pPr>
        <w:tabs>
          <w:tab w:val="num" w:pos="5760"/>
        </w:tabs>
        <w:ind w:left="5760" w:hanging="360"/>
      </w:pPr>
      <w:rPr>
        <w:rFonts w:ascii="Arial" w:hAnsi="Arial" w:hint="default"/>
      </w:rPr>
    </w:lvl>
    <w:lvl w:ilvl="8" w:tplc="F8EACE90" w:tentative="1">
      <w:start w:val="1"/>
      <w:numFmt w:val="bullet"/>
      <w:lvlText w:val="•"/>
      <w:lvlJc w:val="left"/>
      <w:pPr>
        <w:tabs>
          <w:tab w:val="num" w:pos="6480"/>
        </w:tabs>
        <w:ind w:left="6480" w:hanging="360"/>
      </w:pPr>
      <w:rPr>
        <w:rFonts w:ascii="Arial" w:hAnsi="Arial" w:hint="default"/>
      </w:rPr>
    </w:lvl>
  </w:abstractNum>
  <w:abstractNum w:abstractNumId="1">
    <w:nsid w:val="37D5300D"/>
    <w:multiLevelType w:val="hybridMultilevel"/>
    <w:tmpl w:val="1DAA7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905537"/>
    <w:multiLevelType w:val="hybridMultilevel"/>
    <w:tmpl w:val="CB52A19C"/>
    <w:lvl w:ilvl="0" w:tplc="7D48CDF2">
      <w:start w:val="1"/>
      <w:numFmt w:val="bullet"/>
      <w:lvlText w:val="•"/>
      <w:lvlJc w:val="left"/>
      <w:pPr>
        <w:tabs>
          <w:tab w:val="num" w:pos="720"/>
        </w:tabs>
        <w:ind w:left="720" w:hanging="360"/>
      </w:pPr>
      <w:rPr>
        <w:rFonts w:ascii="Arial" w:hAnsi="Arial" w:hint="default"/>
      </w:rPr>
    </w:lvl>
    <w:lvl w:ilvl="1" w:tplc="4BB49416" w:tentative="1">
      <w:start w:val="1"/>
      <w:numFmt w:val="bullet"/>
      <w:lvlText w:val="•"/>
      <w:lvlJc w:val="left"/>
      <w:pPr>
        <w:tabs>
          <w:tab w:val="num" w:pos="1440"/>
        </w:tabs>
        <w:ind w:left="1440" w:hanging="360"/>
      </w:pPr>
      <w:rPr>
        <w:rFonts w:ascii="Arial" w:hAnsi="Arial" w:hint="default"/>
      </w:rPr>
    </w:lvl>
    <w:lvl w:ilvl="2" w:tplc="B0FAE740" w:tentative="1">
      <w:start w:val="1"/>
      <w:numFmt w:val="bullet"/>
      <w:lvlText w:val="•"/>
      <w:lvlJc w:val="left"/>
      <w:pPr>
        <w:tabs>
          <w:tab w:val="num" w:pos="2160"/>
        </w:tabs>
        <w:ind w:left="2160" w:hanging="360"/>
      </w:pPr>
      <w:rPr>
        <w:rFonts w:ascii="Arial" w:hAnsi="Arial" w:hint="default"/>
      </w:rPr>
    </w:lvl>
    <w:lvl w:ilvl="3" w:tplc="296A467C" w:tentative="1">
      <w:start w:val="1"/>
      <w:numFmt w:val="bullet"/>
      <w:lvlText w:val="•"/>
      <w:lvlJc w:val="left"/>
      <w:pPr>
        <w:tabs>
          <w:tab w:val="num" w:pos="2880"/>
        </w:tabs>
        <w:ind w:left="2880" w:hanging="360"/>
      </w:pPr>
      <w:rPr>
        <w:rFonts w:ascii="Arial" w:hAnsi="Arial" w:hint="default"/>
      </w:rPr>
    </w:lvl>
    <w:lvl w:ilvl="4" w:tplc="85769A9A" w:tentative="1">
      <w:start w:val="1"/>
      <w:numFmt w:val="bullet"/>
      <w:lvlText w:val="•"/>
      <w:lvlJc w:val="left"/>
      <w:pPr>
        <w:tabs>
          <w:tab w:val="num" w:pos="3600"/>
        </w:tabs>
        <w:ind w:left="3600" w:hanging="360"/>
      </w:pPr>
      <w:rPr>
        <w:rFonts w:ascii="Arial" w:hAnsi="Arial" w:hint="default"/>
      </w:rPr>
    </w:lvl>
    <w:lvl w:ilvl="5" w:tplc="851020AC" w:tentative="1">
      <w:start w:val="1"/>
      <w:numFmt w:val="bullet"/>
      <w:lvlText w:val="•"/>
      <w:lvlJc w:val="left"/>
      <w:pPr>
        <w:tabs>
          <w:tab w:val="num" w:pos="4320"/>
        </w:tabs>
        <w:ind w:left="4320" w:hanging="360"/>
      </w:pPr>
      <w:rPr>
        <w:rFonts w:ascii="Arial" w:hAnsi="Arial" w:hint="default"/>
      </w:rPr>
    </w:lvl>
    <w:lvl w:ilvl="6" w:tplc="A9B8A890" w:tentative="1">
      <w:start w:val="1"/>
      <w:numFmt w:val="bullet"/>
      <w:lvlText w:val="•"/>
      <w:lvlJc w:val="left"/>
      <w:pPr>
        <w:tabs>
          <w:tab w:val="num" w:pos="5040"/>
        </w:tabs>
        <w:ind w:left="5040" w:hanging="360"/>
      </w:pPr>
      <w:rPr>
        <w:rFonts w:ascii="Arial" w:hAnsi="Arial" w:hint="default"/>
      </w:rPr>
    </w:lvl>
    <w:lvl w:ilvl="7" w:tplc="255E09FC" w:tentative="1">
      <w:start w:val="1"/>
      <w:numFmt w:val="bullet"/>
      <w:lvlText w:val="•"/>
      <w:lvlJc w:val="left"/>
      <w:pPr>
        <w:tabs>
          <w:tab w:val="num" w:pos="5760"/>
        </w:tabs>
        <w:ind w:left="5760" w:hanging="360"/>
      </w:pPr>
      <w:rPr>
        <w:rFonts w:ascii="Arial" w:hAnsi="Arial" w:hint="default"/>
      </w:rPr>
    </w:lvl>
    <w:lvl w:ilvl="8" w:tplc="7000480A" w:tentative="1">
      <w:start w:val="1"/>
      <w:numFmt w:val="bullet"/>
      <w:lvlText w:val="•"/>
      <w:lvlJc w:val="left"/>
      <w:pPr>
        <w:tabs>
          <w:tab w:val="num" w:pos="6480"/>
        </w:tabs>
        <w:ind w:left="6480" w:hanging="360"/>
      </w:pPr>
      <w:rPr>
        <w:rFonts w:ascii="Arial" w:hAnsi="Arial" w:hint="default"/>
      </w:rPr>
    </w:lvl>
  </w:abstractNum>
  <w:abstractNum w:abstractNumId="3">
    <w:nsid w:val="609327B8"/>
    <w:multiLevelType w:val="hybridMultilevel"/>
    <w:tmpl w:val="3A60D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8E"/>
    <w:rsid w:val="000827DA"/>
    <w:rsid w:val="000B7CEE"/>
    <w:rsid w:val="000F3D9F"/>
    <w:rsid w:val="001A6E29"/>
    <w:rsid w:val="001F4238"/>
    <w:rsid w:val="001F5A0D"/>
    <w:rsid w:val="002032C7"/>
    <w:rsid w:val="00223506"/>
    <w:rsid w:val="002854E1"/>
    <w:rsid w:val="00287F81"/>
    <w:rsid w:val="002B508A"/>
    <w:rsid w:val="002C0289"/>
    <w:rsid w:val="002D11C6"/>
    <w:rsid w:val="002E1CF3"/>
    <w:rsid w:val="00316AF6"/>
    <w:rsid w:val="00331CE5"/>
    <w:rsid w:val="00341872"/>
    <w:rsid w:val="00363212"/>
    <w:rsid w:val="003B3657"/>
    <w:rsid w:val="003C3BC4"/>
    <w:rsid w:val="003D2CA5"/>
    <w:rsid w:val="003D494E"/>
    <w:rsid w:val="003D4F1D"/>
    <w:rsid w:val="003E1BB6"/>
    <w:rsid w:val="003F46BA"/>
    <w:rsid w:val="00413C50"/>
    <w:rsid w:val="0046184C"/>
    <w:rsid w:val="00515A9B"/>
    <w:rsid w:val="005169C7"/>
    <w:rsid w:val="005A7D9E"/>
    <w:rsid w:val="005B2B3B"/>
    <w:rsid w:val="00604619"/>
    <w:rsid w:val="00656633"/>
    <w:rsid w:val="006D1302"/>
    <w:rsid w:val="00700157"/>
    <w:rsid w:val="0070777A"/>
    <w:rsid w:val="00713333"/>
    <w:rsid w:val="00713E3A"/>
    <w:rsid w:val="00717E44"/>
    <w:rsid w:val="00751AD5"/>
    <w:rsid w:val="00752D64"/>
    <w:rsid w:val="007E1B60"/>
    <w:rsid w:val="007E6528"/>
    <w:rsid w:val="00813759"/>
    <w:rsid w:val="00832826"/>
    <w:rsid w:val="0089039F"/>
    <w:rsid w:val="008E19D0"/>
    <w:rsid w:val="008F175C"/>
    <w:rsid w:val="009C3F9E"/>
    <w:rsid w:val="00A141D5"/>
    <w:rsid w:val="00A2236E"/>
    <w:rsid w:val="00B26718"/>
    <w:rsid w:val="00C70869"/>
    <w:rsid w:val="00CF0604"/>
    <w:rsid w:val="00D005E0"/>
    <w:rsid w:val="00D229EA"/>
    <w:rsid w:val="00D36DDB"/>
    <w:rsid w:val="00DD588E"/>
    <w:rsid w:val="00DF5742"/>
    <w:rsid w:val="00E225A8"/>
    <w:rsid w:val="00E33804"/>
    <w:rsid w:val="00EA11E9"/>
    <w:rsid w:val="00EA48BD"/>
    <w:rsid w:val="00F42C03"/>
    <w:rsid w:val="00FD58F0"/>
    <w:rsid w:val="00FE4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7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8E"/>
    <w:rPr>
      <w:rFonts w:ascii="Tahoma" w:hAnsi="Tahoma" w:cs="Tahoma"/>
      <w:sz w:val="16"/>
      <w:szCs w:val="16"/>
    </w:rPr>
  </w:style>
  <w:style w:type="paragraph" w:styleId="Header">
    <w:name w:val="header"/>
    <w:basedOn w:val="Normal"/>
    <w:link w:val="HeaderChar"/>
    <w:uiPriority w:val="99"/>
    <w:unhideWhenUsed/>
    <w:rsid w:val="00DD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88E"/>
  </w:style>
  <w:style w:type="paragraph" w:styleId="Footer">
    <w:name w:val="footer"/>
    <w:basedOn w:val="Normal"/>
    <w:link w:val="FooterChar"/>
    <w:uiPriority w:val="99"/>
    <w:unhideWhenUsed/>
    <w:rsid w:val="00DD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88E"/>
  </w:style>
  <w:style w:type="paragraph" w:styleId="ListParagraph">
    <w:name w:val="List Paragraph"/>
    <w:basedOn w:val="Normal"/>
    <w:uiPriority w:val="34"/>
    <w:qFormat/>
    <w:rsid w:val="00813759"/>
    <w:pPr>
      <w:ind w:left="720"/>
      <w:contextualSpacing/>
    </w:pPr>
  </w:style>
  <w:style w:type="paragraph" w:styleId="FootnoteText">
    <w:name w:val="footnote text"/>
    <w:basedOn w:val="Normal"/>
    <w:link w:val="FootnoteTextChar"/>
    <w:uiPriority w:val="99"/>
    <w:semiHidden/>
    <w:unhideWhenUsed/>
    <w:rsid w:val="00316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AF6"/>
    <w:rPr>
      <w:sz w:val="20"/>
      <w:szCs w:val="20"/>
    </w:rPr>
  </w:style>
  <w:style w:type="character" w:styleId="FootnoteReference">
    <w:name w:val="footnote reference"/>
    <w:basedOn w:val="DefaultParagraphFont"/>
    <w:uiPriority w:val="99"/>
    <w:semiHidden/>
    <w:unhideWhenUsed/>
    <w:rsid w:val="00316AF6"/>
    <w:rPr>
      <w:vertAlign w:val="superscript"/>
    </w:rPr>
  </w:style>
  <w:style w:type="character" w:styleId="CommentReference">
    <w:name w:val="annotation reference"/>
    <w:basedOn w:val="DefaultParagraphFont"/>
    <w:uiPriority w:val="99"/>
    <w:semiHidden/>
    <w:unhideWhenUsed/>
    <w:rsid w:val="00C70869"/>
    <w:rPr>
      <w:sz w:val="18"/>
      <w:szCs w:val="18"/>
    </w:rPr>
  </w:style>
  <w:style w:type="paragraph" w:styleId="CommentText">
    <w:name w:val="annotation text"/>
    <w:basedOn w:val="Normal"/>
    <w:link w:val="CommentTextChar"/>
    <w:uiPriority w:val="99"/>
    <w:semiHidden/>
    <w:unhideWhenUsed/>
    <w:rsid w:val="00C70869"/>
    <w:pPr>
      <w:spacing w:line="240" w:lineRule="auto"/>
    </w:pPr>
    <w:rPr>
      <w:sz w:val="24"/>
      <w:szCs w:val="24"/>
    </w:rPr>
  </w:style>
  <w:style w:type="character" w:customStyle="1" w:styleId="CommentTextChar">
    <w:name w:val="Comment Text Char"/>
    <w:basedOn w:val="DefaultParagraphFont"/>
    <w:link w:val="CommentText"/>
    <w:uiPriority w:val="99"/>
    <w:semiHidden/>
    <w:rsid w:val="00C70869"/>
    <w:rPr>
      <w:sz w:val="24"/>
      <w:szCs w:val="24"/>
    </w:rPr>
  </w:style>
  <w:style w:type="paragraph" w:styleId="CommentSubject">
    <w:name w:val="annotation subject"/>
    <w:basedOn w:val="CommentText"/>
    <w:next w:val="CommentText"/>
    <w:link w:val="CommentSubjectChar"/>
    <w:uiPriority w:val="99"/>
    <w:semiHidden/>
    <w:unhideWhenUsed/>
    <w:rsid w:val="00C70869"/>
    <w:rPr>
      <w:b/>
      <w:bCs/>
      <w:sz w:val="20"/>
      <w:szCs w:val="20"/>
    </w:rPr>
  </w:style>
  <w:style w:type="character" w:customStyle="1" w:styleId="CommentSubjectChar">
    <w:name w:val="Comment Subject Char"/>
    <w:basedOn w:val="CommentTextChar"/>
    <w:link w:val="CommentSubject"/>
    <w:uiPriority w:val="99"/>
    <w:semiHidden/>
    <w:rsid w:val="00C708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8E"/>
    <w:rPr>
      <w:rFonts w:ascii="Tahoma" w:hAnsi="Tahoma" w:cs="Tahoma"/>
      <w:sz w:val="16"/>
      <w:szCs w:val="16"/>
    </w:rPr>
  </w:style>
  <w:style w:type="paragraph" w:styleId="Header">
    <w:name w:val="header"/>
    <w:basedOn w:val="Normal"/>
    <w:link w:val="HeaderChar"/>
    <w:uiPriority w:val="99"/>
    <w:unhideWhenUsed/>
    <w:rsid w:val="00DD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88E"/>
  </w:style>
  <w:style w:type="paragraph" w:styleId="Footer">
    <w:name w:val="footer"/>
    <w:basedOn w:val="Normal"/>
    <w:link w:val="FooterChar"/>
    <w:uiPriority w:val="99"/>
    <w:unhideWhenUsed/>
    <w:rsid w:val="00DD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88E"/>
  </w:style>
  <w:style w:type="paragraph" w:styleId="ListParagraph">
    <w:name w:val="List Paragraph"/>
    <w:basedOn w:val="Normal"/>
    <w:uiPriority w:val="34"/>
    <w:qFormat/>
    <w:rsid w:val="00813759"/>
    <w:pPr>
      <w:ind w:left="720"/>
      <w:contextualSpacing/>
    </w:pPr>
  </w:style>
  <w:style w:type="paragraph" w:styleId="FootnoteText">
    <w:name w:val="footnote text"/>
    <w:basedOn w:val="Normal"/>
    <w:link w:val="FootnoteTextChar"/>
    <w:uiPriority w:val="99"/>
    <w:semiHidden/>
    <w:unhideWhenUsed/>
    <w:rsid w:val="00316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AF6"/>
    <w:rPr>
      <w:sz w:val="20"/>
      <w:szCs w:val="20"/>
    </w:rPr>
  </w:style>
  <w:style w:type="character" w:styleId="FootnoteReference">
    <w:name w:val="footnote reference"/>
    <w:basedOn w:val="DefaultParagraphFont"/>
    <w:uiPriority w:val="99"/>
    <w:semiHidden/>
    <w:unhideWhenUsed/>
    <w:rsid w:val="00316AF6"/>
    <w:rPr>
      <w:vertAlign w:val="superscript"/>
    </w:rPr>
  </w:style>
  <w:style w:type="character" w:styleId="CommentReference">
    <w:name w:val="annotation reference"/>
    <w:basedOn w:val="DefaultParagraphFont"/>
    <w:uiPriority w:val="99"/>
    <w:semiHidden/>
    <w:unhideWhenUsed/>
    <w:rsid w:val="00C70869"/>
    <w:rPr>
      <w:sz w:val="18"/>
      <w:szCs w:val="18"/>
    </w:rPr>
  </w:style>
  <w:style w:type="paragraph" w:styleId="CommentText">
    <w:name w:val="annotation text"/>
    <w:basedOn w:val="Normal"/>
    <w:link w:val="CommentTextChar"/>
    <w:uiPriority w:val="99"/>
    <w:semiHidden/>
    <w:unhideWhenUsed/>
    <w:rsid w:val="00C70869"/>
    <w:pPr>
      <w:spacing w:line="240" w:lineRule="auto"/>
    </w:pPr>
    <w:rPr>
      <w:sz w:val="24"/>
      <w:szCs w:val="24"/>
    </w:rPr>
  </w:style>
  <w:style w:type="character" w:customStyle="1" w:styleId="CommentTextChar">
    <w:name w:val="Comment Text Char"/>
    <w:basedOn w:val="DefaultParagraphFont"/>
    <w:link w:val="CommentText"/>
    <w:uiPriority w:val="99"/>
    <w:semiHidden/>
    <w:rsid w:val="00C70869"/>
    <w:rPr>
      <w:sz w:val="24"/>
      <w:szCs w:val="24"/>
    </w:rPr>
  </w:style>
  <w:style w:type="paragraph" w:styleId="CommentSubject">
    <w:name w:val="annotation subject"/>
    <w:basedOn w:val="CommentText"/>
    <w:next w:val="CommentText"/>
    <w:link w:val="CommentSubjectChar"/>
    <w:uiPriority w:val="99"/>
    <w:semiHidden/>
    <w:unhideWhenUsed/>
    <w:rsid w:val="00C70869"/>
    <w:rPr>
      <w:b/>
      <w:bCs/>
      <w:sz w:val="20"/>
      <w:szCs w:val="20"/>
    </w:rPr>
  </w:style>
  <w:style w:type="character" w:customStyle="1" w:styleId="CommentSubjectChar">
    <w:name w:val="Comment Subject Char"/>
    <w:basedOn w:val="CommentTextChar"/>
    <w:link w:val="CommentSubject"/>
    <w:uiPriority w:val="99"/>
    <w:semiHidden/>
    <w:rsid w:val="00C70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8019">
      <w:bodyDiv w:val="1"/>
      <w:marLeft w:val="0"/>
      <w:marRight w:val="0"/>
      <w:marTop w:val="0"/>
      <w:marBottom w:val="0"/>
      <w:divBdr>
        <w:top w:val="none" w:sz="0" w:space="0" w:color="auto"/>
        <w:left w:val="none" w:sz="0" w:space="0" w:color="auto"/>
        <w:bottom w:val="none" w:sz="0" w:space="0" w:color="auto"/>
        <w:right w:val="none" w:sz="0" w:space="0" w:color="auto"/>
      </w:divBdr>
      <w:divsChild>
        <w:div w:id="1137066712">
          <w:marLeft w:val="547"/>
          <w:marRight w:val="0"/>
          <w:marTop w:val="115"/>
          <w:marBottom w:val="0"/>
          <w:divBdr>
            <w:top w:val="none" w:sz="0" w:space="0" w:color="auto"/>
            <w:left w:val="none" w:sz="0" w:space="0" w:color="auto"/>
            <w:bottom w:val="none" w:sz="0" w:space="0" w:color="auto"/>
            <w:right w:val="none" w:sz="0" w:space="0" w:color="auto"/>
          </w:divBdr>
        </w:div>
        <w:div w:id="270168304">
          <w:marLeft w:val="547"/>
          <w:marRight w:val="0"/>
          <w:marTop w:val="115"/>
          <w:marBottom w:val="0"/>
          <w:divBdr>
            <w:top w:val="none" w:sz="0" w:space="0" w:color="auto"/>
            <w:left w:val="none" w:sz="0" w:space="0" w:color="auto"/>
            <w:bottom w:val="none" w:sz="0" w:space="0" w:color="auto"/>
            <w:right w:val="none" w:sz="0" w:space="0" w:color="auto"/>
          </w:divBdr>
        </w:div>
        <w:div w:id="1854755765">
          <w:marLeft w:val="547"/>
          <w:marRight w:val="0"/>
          <w:marTop w:val="115"/>
          <w:marBottom w:val="0"/>
          <w:divBdr>
            <w:top w:val="none" w:sz="0" w:space="0" w:color="auto"/>
            <w:left w:val="none" w:sz="0" w:space="0" w:color="auto"/>
            <w:bottom w:val="none" w:sz="0" w:space="0" w:color="auto"/>
            <w:right w:val="none" w:sz="0" w:space="0" w:color="auto"/>
          </w:divBdr>
        </w:div>
        <w:div w:id="265962247">
          <w:marLeft w:val="547"/>
          <w:marRight w:val="0"/>
          <w:marTop w:val="115"/>
          <w:marBottom w:val="0"/>
          <w:divBdr>
            <w:top w:val="none" w:sz="0" w:space="0" w:color="auto"/>
            <w:left w:val="none" w:sz="0" w:space="0" w:color="auto"/>
            <w:bottom w:val="none" w:sz="0" w:space="0" w:color="auto"/>
            <w:right w:val="none" w:sz="0" w:space="0" w:color="auto"/>
          </w:divBdr>
        </w:div>
      </w:divsChild>
    </w:div>
    <w:div w:id="103621036">
      <w:bodyDiv w:val="1"/>
      <w:marLeft w:val="0"/>
      <w:marRight w:val="0"/>
      <w:marTop w:val="0"/>
      <w:marBottom w:val="0"/>
      <w:divBdr>
        <w:top w:val="none" w:sz="0" w:space="0" w:color="auto"/>
        <w:left w:val="none" w:sz="0" w:space="0" w:color="auto"/>
        <w:bottom w:val="none" w:sz="0" w:space="0" w:color="auto"/>
        <w:right w:val="none" w:sz="0" w:space="0" w:color="auto"/>
      </w:divBdr>
      <w:divsChild>
        <w:div w:id="1855729067">
          <w:marLeft w:val="547"/>
          <w:marRight w:val="0"/>
          <w:marTop w:val="115"/>
          <w:marBottom w:val="0"/>
          <w:divBdr>
            <w:top w:val="none" w:sz="0" w:space="0" w:color="auto"/>
            <w:left w:val="none" w:sz="0" w:space="0" w:color="auto"/>
            <w:bottom w:val="none" w:sz="0" w:space="0" w:color="auto"/>
            <w:right w:val="none" w:sz="0" w:space="0" w:color="auto"/>
          </w:divBdr>
        </w:div>
        <w:div w:id="1388454872">
          <w:marLeft w:val="547"/>
          <w:marRight w:val="0"/>
          <w:marTop w:val="115"/>
          <w:marBottom w:val="0"/>
          <w:divBdr>
            <w:top w:val="none" w:sz="0" w:space="0" w:color="auto"/>
            <w:left w:val="none" w:sz="0" w:space="0" w:color="auto"/>
            <w:bottom w:val="none" w:sz="0" w:space="0" w:color="auto"/>
            <w:right w:val="none" w:sz="0" w:space="0" w:color="auto"/>
          </w:divBdr>
        </w:div>
        <w:div w:id="1629975304">
          <w:marLeft w:val="547"/>
          <w:marRight w:val="0"/>
          <w:marTop w:val="115"/>
          <w:marBottom w:val="0"/>
          <w:divBdr>
            <w:top w:val="none" w:sz="0" w:space="0" w:color="auto"/>
            <w:left w:val="none" w:sz="0" w:space="0" w:color="auto"/>
            <w:bottom w:val="none" w:sz="0" w:space="0" w:color="auto"/>
            <w:right w:val="none" w:sz="0" w:space="0" w:color="auto"/>
          </w:divBdr>
        </w:div>
        <w:div w:id="1232423111">
          <w:marLeft w:val="547"/>
          <w:marRight w:val="0"/>
          <w:marTop w:val="115"/>
          <w:marBottom w:val="0"/>
          <w:divBdr>
            <w:top w:val="none" w:sz="0" w:space="0" w:color="auto"/>
            <w:left w:val="none" w:sz="0" w:space="0" w:color="auto"/>
            <w:bottom w:val="none" w:sz="0" w:space="0" w:color="auto"/>
            <w:right w:val="none" w:sz="0" w:space="0" w:color="auto"/>
          </w:divBdr>
        </w:div>
      </w:divsChild>
    </w:div>
    <w:div w:id="1069498527">
      <w:bodyDiv w:val="1"/>
      <w:marLeft w:val="0"/>
      <w:marRight w:val="0"/>
      <w:marTop w:val="0"/>
      <w:marBottom w:val="0"/>
      <w:divBdr>
        <w:top w:val="none" w:sz="0" w:space="0" w:color="auto"/>
        <w:left w:val="none" w:sz="0" w:space="0" w:color="auto"/>
        <w:bottom w:val="none" w:sz="0" w:space="0" w:color="auto"/>
        <w:right w:val="none" w:sz="0" w:space="0" w:color="auto"/>
      </w:divBdr>
      <w:divsChild>
        <w:div w:id="456490915">
          <w:marLeft w:val="547"/>
          <w:marRight w:val="0"/>
          <w:marTop w:val="134"/>
          <w:marBottom w:val="0"/>
          <w:divBdr>
            <w:top w:val="none" w:sz="0" w:space="0" w:color="auto"/>
            <w:left w:val="none" w:sz="0" w:space="0" w:color="auto"/>
            <w:bottom w:val="none" w:sz="0" w:space="0" w:color="auto"/>
            <w:right w:val="none" w:sz="0" w:space="0" w:color="auto"/>
          </w:divBdr>
        </w:div>
        <w:div w:id="746457458">
          <w:marLeft w:val="547"/>
          <w:marRight w:val="0"/>
          <w:marTop w:val="134"/>
          <w:marBottom w:val="0"/>
          <w:divBdr>
            <w:top w:val="none" w:sz="0" w:space="0" w:color="auto"/>
            <w:left w:val="none" w:sz="0" w:space="0" w:color="auto"/>
            <w:bottom w:val="none" w:sz="0" w:space="0" w:color="auto"/>
            <w:right w:val="none" w:sz="0" w:space="0" w:color="auto"/>
          </w:divBdr>
        </w:div>
        <w:div w:id="724720373">
          <w:marLeft w:val="547"/>
          <w:marRight w:val="0"/>
          <w:marTop w:val="134"/>
          <w:marBottom w:val="0"/>
          <w:divBdr>
            <w:top w:val="none" w:sz="0" w:space="0" w:color="auto"/>
            <w:left w:val="none" w:sz="0" w:space="0" w:color="auto"/>
            <w:bottom w:val="none" w:sz="0" w:space="0" w:color="auto"/>
            <w:right w:val="none" w:sz="0" w:space="0" w:color="auto"/>
          </w:divBdr>
        </w:div>
        <w:div w:id="183776679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EDE5-6449-437A-A071-04336D5E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RobertSteele</dc:creator>
  <cp:lastModifiedBy>RobertSteele</cp:lastModifiedBy>
  <cp:revision>6</cp:revision>
  <cp:lastPrinted>2014-06-25T16:41:00Z</cp:lastPrinted>
  <dcterms:created xsi:type="dcterms:W3CDTF">2014-06-25T16:38:00Z</dcterms:created>
  <dcterms:modified xsi:type="dcterms:W3CDTF">2016-09-27T22:54:00Z</dcterms:modified>
</cp:coreProperties>
</file>