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810"/>
        <w:gridCol w:w="7385"/>
        <w:gridCol w:w="530"/>
      </w:tblGrid>
      <w:tr w:rsidR="009C7109" w:rsidTr="003D552A">
        <w:trPr>
          <w:trHeight w:val="1790"/>
        </w:trPr>
        <w:tc>
          <w:tcPr>
            <w:tcW w:w="2065" w:type="dxa"/>
          </w:tcPr>
          <w:p w:rsidR="00E129C4" w:rsidRDefault="003447F7">
            <w:r>
              <w:rPr>
                <w:noProof/>
              </w:rPr>
              <w:drawing>
                <wp:inline distT="0" distB="0" distL="0" distR="0" wp14:anchorId="15FF04AF" wp14:editId="7363695D">
                  <wp:extent cx="120396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logo-for-coin__v01-8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tc>
        <w:tc>
          <w:tcPr>
            <w:tcW w:w="8195" w:type="dxa"/>
            <w:gridSpan w:val="2"/>
          </w:tcPr>
          <w:p w:rsidR="003447F7" w:rsidRPr="003447F7" w:rsidRDefault="003447F7" w:rsidP="003447F7">
            <w:pPr>
              <w:jc w:val="center"/>
              <w:rPr>
                <w:b/>
                <w:sz w:val="16"/>
                <w:szCs w:val="16"/>
              </w:rPr>
            </w:pPr>
          </w:p>
          <w:p w:rsidR="00706A22" w:rsidRPr="00706A22" w:rsidRDefault="00706A22" w:rsidP="003447F7">
            <w:pPr>
              <w:jc w:val="center"/>
              <w:rPr>
                <w:b/>
                <w:sz w:val="16"/>
                <w:szCs w:val="16"/>
              </w:rPr>
            </w:pPr>
          </w:p>
          <w:p w:rsidR="00E129C4" w:rsidRPr="003447F7" w:rsidRDefault="00E129C4" w:rsidP="003447F7">
            <w:pPr>
              <w:jc w:val="center"/>
              <w:rPr>
                <w:b/>
                <w:sz w:val="32"/>
                <w:szCs w:val="32"/>
              </w:rPr>
            </w:pPr>
            <w:r w:rsidRPr="003447F7">
              <w:rPr>
                <w:b/>
                <w:sz w:val="32"/>
                <w:szCs w:val="32"/>
              </w:rPr>
              <w:t>Earth Intelligence Network</w:t>
            </w:r>
          </w:p>
          <w:p w:rsidR="00E129C4" w:rsidRPr="003447F7" w:rsidRDefault="00E129C4" w:rsidP="00E129C4">
            <w:pPr>
              <w:jc w:val="center"/>
              <w:rPr>
                <w:b/>
                <w:sz w:val="4"/>
                <w:szCs w:val="4"/>
              </w:rPr>
            </w:pPr>
          </w:p>
          <w:p w:rsidR="00E30440" w:rsidRPr="00183D92" w:rsidRDefault="00E129C4" w:rsidP="00183D92">
            <w:pPr>
              <w:jc w:val="center"/>
              <w:rPr>
                <w:b/>
                <w:i/>
                <w:sz w:val="28"/>
                <w:szCs w:val="28"/>
              </w:rPr>
            </w:pPr>
            <w:r w:rsidRPr="00E129C4">
              <w:rPr>
                <w:b/>
                <w:i/>
                <w:sz w:val="28"/>
                <w:szCs w:val="28"/>
              </w:rPr>
              <w:t>Creating a Prosperous World at Peace</w:t>
            </w:r>
          </w:p>
          <w:p w:rsidR="00E30440" w:rsidRPr="002F619A" w:rsidRDefault="00E30440" w:rsidP="00E129C4">
            <w:pPr>
              <w:jc w:val="center"/>
              <w:rPr>
                <w:sz w:val="16"/>
                <w:szCs w:val="16"/>
              </w:rPr>
            </w:pPr>
          </w:p>
          <w:p w:rsidR="006D10EB" w:rsidRPr="00E30440" w:rsidRDefault="00E36E92" w:rsidP="00E129C4">
            <w:pPr>
              <w:jc w:val="center"/>
            </w:pPr>
            <w:r>
              <w:t>7 January 2020</w:t>
            </w:r>
          </w:p>
        </w:tc>
        <w:tc>
          <w:tcPr>
            <w:tcW w:w="530" w:type="dxa"/>
          </w:tcPr>
          <w:p w:rsidR="00E129C4" w:rsidRDefault="00E129C4"/>
        </w:tc>
      </w:tr>
      <w:tr w:rsidR="009C7109" w:rsidTr="003D552A">
        <w:tc>
          <w:tcPr>
            <w:tcW w:w="2065" w:type="dxa"/>
          </w:tcPr>
          <w:p w:rsidR="008676D4" w:rsidRPr="008676D4" w:rsidRDefault="008676D4" w:rsidP="008676D4">
            <w:pPr>
              <w:jc w:val="center"/>
              <w:rPr>
                <w:rFonts w:ascii="Calibri" w:eastAsia="Calibri" w:hAnsi="Calibri" w:cs="Times New Roman"/>
                <w:b/>
                <w:sz w:val="20"/>
                <w:szCs w:val="20"/>
              </w:rPr>
            </w:pPr>
          </w:p>
          <w:p w:rsidR="004A39A8" w:rsidRDefault="004A39A8" w:rsidP="008676D4">
            <w:pPr>
              <w:jc w:val="center"/>
              <w:rPr>
                <w:rFonts w:ascii="Calibri" w:eastAsia="Calibri" w:hAnsi="Calibri" w:cs="Times New Roman"/>
                <w:b/>
                <w:sz w:val="20"/>
                <w:szCs w:val="20"/>
              </w:rPr>
            </w:pPr>
          </w:p>
          <w:p w:rsidR="008676D4" w:rsidRPr="00097C89" w:rsidRDefault="008676D4" w:rsidP="008676D4">
            <w:pPr>
              <w:jc w:val="center"/>
              <w:rPr>
                <w:rFonts w:ascii="Calibri" w:eastAsia="Calibri" w:hAnsi="Calibri" w:cs="Times New Roman"/>
                <w:b/>
                <w:sz w:val="20"/>
                <w:szCs w:val="20"/>
              </w:rPr>
            </w:pPr>
            <w:r w:rsidRPr="00097C89">
              <w:rPr>
                <w:rFonts w:ascii="Calibri" w:eastAsia="Calibri" w:hAnsi="Calibri" w:cs="Times New Roman"/>
                <w:b/>
                <w:sz w:val="20"/>
                <w:szCs w:val="20"/>
              </w:rPr>
              <w:t>Ten Threats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Poverty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Infectious Disease</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Environmental Degradation</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Inter-State Conflict</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Civil War</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Genocide</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Other Atrocities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Proliferation</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Terrorism</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Transnational Crime</w:t>
            </w:r>
          </w:p>
          <w:p w:rsidR="008676D4" w:rsidRPr="00183D92" w:rsidRDefault="008676D4" w:rsidP="008676D4">
            <w:pPr>
              <w:jc w:val="center"/>
              <w:rPr>
                <w:rFonts w:ascii="Calibri" w:eastAsia="Calibri" w:hAnsi="Calibri" w:cs="Times New Roman"/>
                <w:sz w:val="18"/>
                <w:szCs w:val="18"/>
              </w:rPr>
            </w:pPr>
          </w:p>
          <w:p w:rsidR="008676D4" w:rsidRPr="00097C89" w:rsidRDefault="008676D4" w:rsidP="008676D4">
            <w:pPr>
              <w:jc w:val="center"/>
              <w:rPr>
                <w:rFonts w:ascii="Calibri" w:eastAsia="Calibri" w:hAnsi="Calibri" w:cs="Times New Roman"/>
                <w:b/>
                <w:sz w:val="20"/>
                <w:szCs w:val="20"/>
              </w:rPr>
            </w:pPr>
            <w:r w:rsidRPr="00097C89">
              <w:rPr>
                <w:rFonts w:ascii="Calibri" w:eastAsia="Calibri" w:hAnsi="Calibri" w:cs="Times New Roman"/>
                <w:b/>
                <w:sz w:val="20"/>
                <w:szCs w:val="20"/>
              </w:rPr>
              <w:t>Twelve Policies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Agriculture</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Diplomacy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Economy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Education</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Energy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Family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Immigration</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Justice</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Security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Society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Water</w:t>
            </w:r>
          </w:p>
          <w:p w:rsidR="008676D4" w:rsidRPr="00183D92" w:rsidRDefault="008676D4" w:rsidP="008676D4">
            <w:pPr>
              <w:jc w:val="center"/>
              <w:rPr>
                <w:rFonts w:ascii="Calibri" w:eastAsia="Calibri" w:hAnsi="Calibri" w:cs="Times New Roman"/>
                <w:sz w:val="18"/>
                <w:szCs w:val="18"/>
              </w:rPr>
            </w:pPr>
          </w:p>
          <w:p w:rsidR="008676D4" w:rsidRPr="00097C89" w:rsidRDefault="008676D4" w:rsidP="008676D4">
            <w:pPr>
              <w:jc w:val="center"/>
              <w:rPr>
                <w:rFonts w:ascii="Calibri" w:eastAsia="Calibri" w:hAnsi="Calibri" w:cs="Times New Roman"/>
                <w:b/>
                <w:sz w:val="20"/>
                <w:szCs w:val="20"/>
              </w:rPr>
            </w:pPr>
            <w:r w:rsidRPr="00097C89">
              <w:rPr>
                <w:rFonts w:ascii="Calibri" w:eastAsia="Calibri" w:hAnsi="Calibri" w:cs="Times New Roman"/>
                <w:b/>
                <w:sz w:val="20"/>
                <w:szCs w:val="20"/>
              </w:rPr>
              <w:t>Ten Regions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Africa</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Americas (South)</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Americas (North</w:t>
            </w:r>
            <w:r w:rsidR="00097C89">
              <w:rPr>
                <w:rFonts w:ascii="Calibri" w:eastAsia="Calibri" w:hAnsi="Calibri" w:cs="Times New Roman"/>
                <w:sz w:val="18"/>
                <w:szCs w:val="18"/>
              </w:rPr>
              <w:t xml:space="preserve">, </w:t>
            </w:r>
            <w:r w:rsidRPr="00183D92">
              <w:rPr>
                <w:rFonts w:ascii="Calibri" w:eastAsia="Calibri" w:hAnsi="Calibri" w:cs="Times New Roman"/>
                <w:sz w:val="18"/>
                <w:szCs w:val="18"/>
              </w:rPr>
              <w:t>Arctic)</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Antarctica &amp; Atlantic</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Australia &amp; New Zealand</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Asia Less China</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China &amp; India</w:t>
            </w:r>
          </w:p>
          <w:p w:rsidR="008676D4" w:rsidRPr="00183D92" w:rsidRDefault="004A39A8" w:rsidP="008676D4">
            <w:pPr>
              <w:jc w:val="center"/>
              <w:rPr>
                <w:rFonts w:ascii="Calibri" w:eastAsia="Calibri" w:hAnsi="Calibri" w:cs="Times New Roman"/>
                <w:sz w:val="18"/>
                <w:szCs w:val="18"/>
              </w:rPr>
            </w:pPr>
            <w:r>
              <w:rPr>
                <w:rFonts w:ascii="Calibri" w:eastAsia="Calibri" w:hAnsi="Calibri" w:cs="Times New Roman"/>
                <w:sz w:val="18"/>
                <w:szCs w:val="18"/>
              </w:rPr>
              <w:t>Indonesia &amp; S.</w:t>
            </w:r>
            <w:r w:rsidR="008676D4" w:rsidRPr="00183D92">
              <w:rPr>
                <w:rFonts w:ascii="Calibri" w:eastAsia="Calibri" w:hAnsi="Calibri" w:cs="Times New Roman"/>
                <w:sz w:val="18"/>
                <w:szCs w:val="18"/>
              </w:rPr>
              <w:t xml:space="preserve"> Pacific</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Iran &amp; Central Asia</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Russia</w:t>
            </w:r>
            <w:r w:rsidR="0019543B" w:rsidRPr="00183D92">
              <w:rPr>
                <w:rFonts w:ascii="Calibri" w:eastAsia="Calibri" w:hAnsi="Calibri" w:cs="Times New Roman"/>
                <w:sz w:val="18"/>
                <w:szCs w:val="18"/>
              </w:rPr>
              <w:t>, Europe, Nordics</w:t>
            </w:r>
          </w:p>
          <w:p w:rsidR="008676D4" w:rsidRPr="00183D92" w:rsidRDefault="008676D4" w:rsidP="008676D4">
            <w:pPr>
              <w:jc w:val="center"/>
              <w:rPr>
                <w:rFonts w:ascii="Calibri" w:eastAsia="Calibri" w:hAnsi="Calibri" w:cs="Times New Roman"/>
                <w:sz w:val="18"/>
                <w:szCs w:val="18"/>
              </w:rPr>
            </w:pPr>
          </w:p>
          <w:p w:rsidR="008676D4" w:rsidRPr="00097C89" w:rsidRDefault="0019543B" w:rsidP="008676D4">
            <w:pPr>
              <w:jc w:val="center"/>
              <w:rPr>
                <w:rFonts w:ascii="Calibri" w:eastAsia="Calibri" w:hAnsi="Calibri" w:cs="Times New Roman"/>
                <w:b/>
                <w:sz w:val="20"/>
                <w:szCs w:val="20"/>
              </w:rPr>
            </w:pPr>
            <w:r w:rsidRPr="00097C89">
              <w:rPr>
                <w:rFonts w:ascii="Calibri" w:eastAsia="Calibri" w:hAnsi="Calibri" w:cs="Times New Roman"/>
                <w:b/>
                <w:sz w:val="20"/>
                <w:szCs w:val="20"/>
              </w:rPr>
              <w:t>Six</w:t>
            </w:r>
            <w:r w:rsidR="008676D4" w:rsidRPr="00097C89">
              <w:rPr>
                <w:rFonts w:ascii="Calibri" w:eastAsia="Calibri" w:hAnsi="Calibri" w:cs="Times New Roman"/>
                <w:b/>
                <w:sz w:val="20"/>
                <w:szCs w:val="20"/>
              </w:rPr>
              <w:t xml:space="preserve"> Methods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1. Balanced Open Budgets</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2. No Borrowing</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3. Grand Strategy</w:t>
            </w:r>
          </w:p>
          <w:p w:rsidR="008676D4" w:rsidRPr="00183D92" w:rsidRDefault="008676D4" w:rsidP="008676D4">
            <w:pPr>
              <w:jc w:val="center"/>
              <w:rPr>
                <w:rFonts w:ascii="Calibri" w:eastAsia="Calibri" w:hAnsi="Calibri" w:cs="Times New Roman"/>
                <w:sz w:val="18"/>
                <w:szCs w:val="18"/>
              </w:rPr>
            </w:pPr>
            <w:r w:rsidRPr="00183D92">
              <w:rPr>
                <w:rFonts w:ascii="Calibri" w:eastAsia="Calibri" w:hAnsi="Calibri" w:cs="Times New Roman"/>
                <w:sz w:val="18"/>
                <w:szCs w:val="18"/>
              </w:rPr>
              <w:t>4. Eradicate 50% Waste</w:t>
            </w:r>
          </w:p>
          <w:p w:rsidR="00E129C4" w:rsidRPr="00183D92" w:rsidRDefault="008676D4" w:rsidP="0019543B">
            <w:pPr>
              <w:jc w:val="center"/>
              <w:rPr>
                <w:rFonts w:ascii="Calibri" w:eastAsia="Calibri" w:hAnsi="Calibri" w:cs="Times New Roman"/>
                <w:sz w:val="18"/>
                <w:szCs w:val="18"/>
              </w:rPr>
            </w:pPr>
            <w:r w:rsidRPr="00183D92">
              <w:rPr>
                <w:rFonts w:ascii="Calibri" w:eastAsia="Calibri" w:hAnsi="Calibri" w:cs="Times New Roman"/>
                <w:sz w:val="18"/>
                <w:szCs w:val="18"/>
              </w:rPr>
              <w:t xml:space="preserve">5. </w:t>
            </w:r>
            <w:r w:rsidR="00183D92">
              <w:rPr>
                <w:rFonts w:ascii="Calibri" w:eastAsia="Calibri" w:hAnsi="Calibri" w:cs="Times New Roman"/>
                <w:sz w:val="18"/>
                <w:szCs w:val="18"/>
              </w:rPr>
              <w:t>Re-Invent Education</w:t>
            </w:r>
          </w:p>
          <w:p w:rsidR="0019543B" w:rsidRPr="008676D4" w:rsidRDefault="00183D92" w:rsidP="00183D92">
            <w:pPr>
              <w:jc w:val="center"/>
              <w:rPr>
                <w:rFonts w:ascii="Calibri" w:eastAsia="Calibri" w:hAnsi="Calibri" w:cs="Times New Roman"/>
                <w:sz w:val="18"/>
                <w:szCs w:val="18"/>
              </w:rPr>
            </w:pPr>
            <w:r>
              <w:rPr>
                <w:rFonts w:ascii="Calibri" w:eastAsia="Calibri" w:hAnsi="Calibri" w:cs="Times New Roman"/>
                <w:sz w:val="18"/>
                <w:szCs w:val="18"/>
              </w:rPr>
              <w:t>6. Local Sustainability</w:t>
            </w:r>
          </w:p>
        </w:tc>
        <w:tc>
          <w:tcPr>
            <w:tcW w:w="8195" w:type="dxa"/>
            <w:gridSpan w:val="2"/>
          </w:tcPr>
          <w:p w:rsidR="006D10EB" w:rsidRPr="00A965E0" w:rsidRDefault="006D10EB" w:rsidP="003447F7">
            <w:r w:rsidRPr="00A965E0">
              <w:t>PERSONAL FOR THE PRESIDENT OF THE UNITED STATES OF AMERICA</w:t>
            </w:r>
          </w:p>
          <w:p w:rsidR="006D10EB" w:rsidRPr="00A965E0" w:rsidRDefault="006D10EB" w:rsidP="003447F7">
            <w:r w:rsidRPr="00A965E0">
              <w:t>Via: (1) Mr. Matthew Pottinger, Deputy National Security Advisor</w:t>
            </w:r>
            <w:r w:rsidR="00DC4B1B" w:rsidRPr="00A965E0">
              <w:t>, copy w/encl</w:t>
            </w:r>
          </w:p>
          <w:p w:rsidR="00DC4B1B" w:rsidRPr="00A965E0" w:rsidRDefault="006D10EB" w:rsidP="003447F7">
            <w:r w:rsidRPr="00A965E0">
              <w:t xml:space="preserve">        (2) Mr. Robert O’Brien, National Security Advisor</w:t>
            </w:r>
            <w:r w:rsidR="00394BD8">
              <w:t>,</w:t>
            </w:r>
            <w:r w:rsidR="00DC4B1B" w:rsidRPr="00A965E0">
              <w:t xml:space="preserve"> copy w/encl</w:t>
            </w:r>
          </w:p>
          <w:p w:rsidR="006D10EB" w:rsidRPr="00A965E0" w:rsidRDefault="00DC4B1B" w:rsidP="003447F7">
            <w:r w:rsidRPr="00A965E0">
              <w:t xml:space="preserve">  </w:t>
            </w:r>
            <w:r w:rsidR="006D10EB" w:rsidRPr="00A965E0">
              <w:t xml:space="preserve">      (3) Mr. Mick Mulvaney, Chief of Staff</w:t>
            </w:r>
            <w:r w:rsidRPr="00A965E0">
              <w:t>, copy w/encl</w:t>
            </w:r>
          </w:p>
          <w:p w:rsidR="006D10EB" w:rsidRPr="00A965E0" w:rsidRDefault="006D10EB" w:rsidP="003447F7">
            <w:pPr>
              <w:rPr>
                <w:sz w:val="16"/>
                <w:szCs w:val="16"/>
              </w:rPr>
            </w:pPr>
          </w:p>
          <w:p w:rsidR="006D10EB" w:rsidRPr="00A965E0" w:rsidRDefault="00F75F86" w:rsidP="003447F7">
            <w:r w:rsidRPr="00A965E0">
              <w:t xml:space="preserve">Dear </w:t>
            </w:r>
            <w:r w:rsidR="006D10EB" w:rsidRPr="00A965E0">
              <w:t>Mr. President,</w:t>
            </w:r>
          </w:p>
          <w:p w:rsidR="006D10EB" w:rsidRPr="00A965E0" w:rsidRDefault="006D10EB" w:rsidP="003447F7">
            <w:pPr>
              <w:rPr>
                <w:sz w:val="16"/>
                <w:szCs w:val="16"/>
              </w:rPr>
            </w:pPr>
          </w:p>
          <w:p w:rsidR="00E36E92" w:rsidRDefault="00E36E92" w:rsidP="003447F7">
            <w:r w:rsidRPr="00A965E0">
              <w:t xml:space="preserve">My prayers are with you as you navigate the complications of the Soleimani assassination. I am delighted that the Iranians are now on record to the effect that no blood revenge will be sought if US forces are removed from the Middle East. I suspect you planned it this way, and your back channels to Tehran are working as they should. </w:t>
            </w:r>
          </w:p>
          <w:p w:rsidR="00A965E0" w:rsidRPr="00A965E0" w:rsidRDefault="00A965E0" w:rsidP="003447F7">
            <w:pPr>
              <w:rPr>
                <w:sz w:val="16"/>
                <w:szCs w:val="16"/>
              </w:rPr>
            </w:pPr>
          </w:p>
          <w:p w:rsidR="00E36E92" w:rsidRPr="00A965E0" w:rsidRDefault="00E36E92" w:rsidP="003447F7">
            <w:r w:rsidRPr="00A965E0">
              <w:t xml:space="preserve">Now is the time for you to get your intelligence and counterintelligence house in order, along with the establishment of a grand strategy advisory group, a Trump studio, a truth channel, and an Open Source Agency (OSA) that becomes “the President’s own” and whose decision-support (which is what intelligence is supposed to be) can be shared with the public, Congress, the media, and foreign allies.  What you have today is not just worthless, </w:t>
            </w:r>
            <w:r w:rsidR="00E44FA5">
              <w:t>it is toxic and constantly sabotaging your Presidency.</w:t>
            </w:r>
          </w:p>
          <w:p w:rsidR="003D552A" w:rsidRPr="00A965E0" w:rsidRDefault="003D552A" w:rsidP="003D552A">
            <w:pPr>
              <w:rPr>
                <w:sz w:val="16"/>
                <w:szCs w:val="16"/>
              </w:rPr>
            </w:pPr>
          </w:p>
          <w:p w:rsidR="00A965E0" w:rsidRPr="00A965E0" w:rsidRDefault="00E36E92" w:rsidP="003D552A">
            <w:r w:rsidRPr="00A965E0">
              <w:t xml:space="preserve">Enclosed is a compilation of my work over the past thirty years during which CIA has fought me every step of the way, while sabotaging successful military Open Source Intelligence (OSINT) efforts such as those of General Peter Schoomaker, then CINCSOC in Tampa.  </w:t>
            </w:r>
            <w:r w:rsidR="00A965E0" w:rsidRPr="00A965E0">
              <w:t>It is intended for the d</w:t>
            </w:r>
            <w:r w:rsidR="00E44FA5">
              <w:t>istribution recipients to study, not as a burden on you.</w:t>
            </w:r>
          </w:p>
          <w:p w:rsidR="00A965E0" w:rsidRPr="00A965E0" w:rsidRDefault="00A965E0" w:rsidP="003D552A">
            <w:pPr>
              <w:rPr>
                <w:sz w:val="16"/>
                <w:szCs w:val="16"/>
              </w:rPr>
            </w:pPr>
          </w:p>
          <w:p w:rsidR="00E36E92" w:rsidRDefault="00E36E92" w:rsidP="003D552A">
            <w:r w:rsidRPr="00A965E0">
              <w:t xml:space="preserve">On the next </w:t>
            </w:r>
            <w:r w:rsidR="00A965E0">
              <w:t xml:space="preserve">two </w:t>
            </w:r>
            <w:r w:rsidRPr="00A965E0">
              <w:t>page</w:t>
            </w:r>
            <w:r w:rsidR="00A965E0">
              <w:t>s</w:t>
            </w:r>
            <w:r w:rsidR="00E44FA5">
              <w:t xml:space="preserve"> are four graphics, which are</w:t>
            </w:r>
            <w:r w:rsidRPr="00A965E0">
              <w:t xml:space="preserve"> all you need to make the decision: demand of OMB – which has twice approved an OSA at $2B a year – that this be immediately </w:t>
            </w:r>
            <w:r w:rsidR="00B356D5" w:rsidRPr="00A965E0">
              <w:t>impl</w:t>
            </w:r>
            <w:r w:rsidR="00B356D5">
              <w:t>e</w:t>
            </w:r>
            <w:r w:rsidR="00B356D5" w:rsidRPr="00A965E0">
              <w:t>mented</w:t>
            </w:r>
            <w:r w:rsidRPr="00A965E0">
              <w:t>.  It is my hope that you will invite Bill Binney and me to visit with you for a few minutes – perhaps Tucker Carlson and Lou Dobbs as well – because I believe that the OSA (along with #UNRIG election reform) will assure your winning the mother of all landslides in 2020.</w:t>
            </w:r>
          </w:p>
          <w:p w:rsidR="00A965E0" w:rsidRPr="00A965E0" w:rsidRDefault="00A965E0" w:rsidP="003D552A">
            <w:pPr>
              <w:rPr>
                <w:sz w:val="16"/>
                <w:szCs w:val="16"/>
              </w:rPr>
            </w:pPr>
          </w:p>
          <w:p w:rsidR="00A965E0" w:rsidRPr="00A965E0" w:rsidRDefault="00A965E0" w:rsidP="003D552A">
            <w:r>
              <w:t>I respectfully emphasize that OSINT, because it is strictly open, is of enormous political and economic value to you – it does domestic analysis and it does comparative trade. If you allow me to build this as I envision (memo in the book, fourth graphic), Open Source Everything Engineering (OSEE) will allow you to rebuild America at 20% the cost of the failed Western proprietary and financialization model, and then export OSEE globally, which is the perfect US response to the Chinese One Belt One Road strategic campaign.</w:t>
            </w:r>
          </w:p>
          <w:p w:rsidR="00E36E92" w:rsidRPr="00A965E0" w:rsidRDefault="00E36E92" w:rsidP="003D552A"/>
          <w:p w:rsidR="00706A22" w:rsidRPr="00A965E0" w:rsidRDefault="001872E6" w:rsidP="00706A22">
            <w:pPr>
              <w:jc w:val="center"/>
            </w:pPr>
            <w:r w:rsidRPr="00A965E0">
              <w:t>Very respectfully</w:t>
            </w:r>
            <w:r w:rsidR="00706A22" w:rsidRPr="00A965E0">
              <w:t>,</w:t>
            </w:r>
          </w:p>
          <w:p w:rsidR="00706A22" w:rsidRPr="00A965E0" w:rsidRDefault="00706A22" w:rsidP="00706A22">
            <w:pPr>
              <w:jc w:val="center"/>
              <w:rPr>
                <w:noProof/>
              </w:rPr>
            </w:pPr>
          </w:p>
          <w:p w:rsidR="001D4249" w:rsidRPr="00A965E0" w:rsidRDefault="001D4249" w:rsidP="00706A22">
            <w:pPr>
              <w:jc w:val="center"/>
              <w:rPr>
                <w:noProof/>
              </w:rPr>
            </w:pPr>
          </w:p>
          <w:p w:rsidR="001D4249" w:rsidRPr="00A965E0" w:rsidRDefault="001D4249" w:rsidP="001D4249"/>
          <w:p w:rsidR="00706A22" w:rsidRDefault="00706A22" w:rsidP="00706A22">
            <w:pPr>
              <w:jc w:val="center"/>
            </w:pPr>
            <w:r w:rsidRPr="00A965E0">
              <w:t>Robert David Steele</w:t>
            </w:r>
          </w:p>
          <w:p w:rsidR="003352F6" w:rsidRDefault="003352F6" w:rsidP="00706A22">
            <w:pPr>
              <w:jc w:val="center"/>
            </w:pPr>
          </w:p>
          <w:p w:rsidR="003352F6" w:rsidRDefault="003352F6" w:rsidP="00706A22">
            <w:pPr>
              <w:jc w:val="center"/>
            </w:pPr>
          </w:p>
          <w:p w:rsidR="003352F6" w:rsidRPr="00A965E0" w:rsidRDefault="003352F6" w:rsidP="00706A22">
            <w:pPr>
              <w:jc w:val="center"/>
            </w:pPr>
            <w:r>
              <w:t>CONTRACT INFORMATION REDACTED</w:t>
            </w:r>
          </w:p>
        </w:tc>
        <w:tc>
          <w:tcPr>
            <w:tcW w:w="530" w:type="dxa"/>
          </w:tcPr>
          <w:p w:rsidR="00E129C4" w:rsidRDefault="00E129C4" w:rsidP="00E129C4">
            <w:pPr>
              <w:jc w:val="center"/>
              <w:rPr>
                <w:rFonts w:ascii="Calibri" w:eastAsia="Calibri" w:hAnsi="Calibri" w:cs="Times New Roman"/>
                <w:b/>
                <w:sz w:val="20"/>
                <w:szCs w:val="20"/>
              </w:rPr>
            </w:pPr>
          </w:p>
          <w:p w:rsidR="004A39A8" w:rsidRDefault="004A39A8" w:rsidP="00E129C4">
            <w:pPr>
              <w:jc w:val="center"/>
              <w:rPr>
                <w:rFonts w:ascii="Calibri" w:eastAsia="Calibri" w:hAnsi="Calibri" w:cs="Times New Roman"/>
                <w:b/>
                <w:sz w:val="20"/>
                <w:szCs w:val="20"/>
              </w:rPr>
            </w:pPr>
          </w:p>
          <w:p w:rsidR="00E129C4" w:rsidRDefault="00E129C4" w:rsidP="00E129C4">
            <w:pPr>
              <w:jc w:val="center"/>
            </w:pPr>
          </w:p>
        </w:tc>
      </w:tr>
      <w:tr w:rsidR="00E129C4" w:rsidTr="003D552A">
        <w:tc>
          <w:tcPr>
            <w:tcW w:w="2875" w:type="dxa"/>
            <w:gridSpan w:val="2"/>
          </w:tcPr>
          <w:p w:rsidR="00E129C4" w:rsidRDefault="00E129C4"/>
        </w:tc>
        <w:tc>
          <w:tcPr>
            <w:tcW w:w="7385" w:type="dxa"/>
          </w:tcPr>
          <w:p w:rsidR="00E129C4" w:rsidRPr="00A965E0" w:rsidRDefault="00E129C4" w:rsidP="003352F6">
            <w:bookmarkStart w:id="0" w:name="_GoBack"/>
            <w:bookmarkEnd w:id="0"/>
          </w:p>
        </w:tc>
        <w:tc>
          <w:tcPr>
            <w:tcW w:w="530" w:type="dxa"/>
          </w:tcPr>
          <w:p w:rsidR="00E129C4" w:rsidRDefault="00E129C4" w:rsidP="00E129C4">
            <w:pPr>
              <w:jc w:val="center"/>
              <w:rPr>
                <w:rFonts w:ascii="Calibri" w:eastAsia="Calibri" w:hAnsi="Calibri" w:cs="Times New Roman"/>
                <w:b/>
                <w:sz w:val="20"/>
                <w:szCs w:val="20"/>
              </w:rPr>
            </w:pPr>
          </w:p>
        </w:tc>
      </w:tr>
      <w:tr w:rsidR="003352F6" w:rsidTr="003D552A">
        <w:tc>
          <w:tcPr>
            <w:tcW w:w="2875" w:type="dxa"/>
            <w:gridSpan w:val="2"/>
          </w:tcPr>
          <w:p w:rsidR="003352F6" w:rsidRDefault="003352F6"/>
        </w:tc>
        <w:tc>
          <w:tcPr>
            <w:tcW w:w="7385" w:type="dxa"/>
          </w:tcPr>
          <w:p w:rsidR="003352F6" w:rsidRPr="00A965E0" w:rsidRDefault="003352F6" w:rsidP="00E129C4">
            <w:pPr>
              <w:jc w:val="center"/>
            </w:pPr>
          </w:p>
        </w:tc>
        <w:tc>
          <w:tcPr>
            <w:tcW w:w="530" w:type="dxa"/>
          </w:tcPr>
          <w:p w:rsidR="003352F6" w:rsidRDefault="003352F6" w:rsidP="00E129C4">
            <w:pPr>
              <w:jc w:val="center"/>
              <w:rPr>
                <w:rFonts w:ascii="Calibri" w:eastAsia="Calibri" w:hAnsi="Calibri" w:cs="Times New Roman"/>
                <w:b/>
                <w:sz w:val="20"/>
                <w:szCs w:val="20"/>
              </w:rPr>
            </w:pPr>
          </w:p>
        </w:tc>
      </w:tr>
    </w:tbl>
    <w:p w:rsidR="006521E2" w:rsidRDefault="006521E2">
      <w:pPr>
        <w:sectPr w:rsidR="006521E2" w:rsidSect="001872E6">
          <w:footerReference w:type="default" r:id="rId8"/>
          <w:pgSz w:w="12240" w:h="15840"/>
          <w:pgMar w:top="720" w:right="720" w:bottom="720" w:left="720" w:header="720" w:footer="720" w:gutter="0"/>
          <w:cols w:space="720"/>
          <w:titlePg/>
          <w:docGrid w:linePitch="360"/>
        </w:sectPr>
      </w:pPr>
    </w:p>
    <w:p w:rsidR="00821690" w:rsidRDefault="00A965E0" w:rsidP="00A965E0">
      <w:pPr>
        <w:spacing w:after="0"/>
        <w:jc w:val="right"/>
        <w:rPr>
          <w:rFonts w:ascii="Arial" w:hAnsi="Arial" w:cs="Arial"/>
        </w:rPr>
      </w:pPr>
      <w:r>
        <w:rPr>
          <w:rFonts w:ascii="Arial" w:hAnsi="Arial" w:cs="Arial"/>
          <w:noProof/>
        </w:rPr>
        <w:lastRenderedPageBreak/>
        <w:drawing>
          <wp:inline distT="0" distB="0" distL="0" distR="0">
            <wp:extent cx="5576495" cy="405130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 Floor Plan 5.0.jpg"/>
                    <pic:cNvPicPr/>
                  </pic:nvPicPr>
                  <pic:blipFill>
                    <a:blip r:embed="rId9">
                      <a:extLst>
                        <a:ext uri="{28A0092B-C50C-407E-A947-70E740481C1C}">
                          <a14:useLocalDpi xmlns:a14="http://schemas.microsoft.com/office/drawing/2010/main" val="0"/>
                        </a:ext>
                      </a:extLst>
                    </a:blip>
                    <a:stretch>
                      <a:fillRect/>
                    </a:stretch>
                  </pic:blipFill>
                  <pic:spPr>
                    <a:xfrm>
                      <a:off x="0" y="0"/>
                      <a:ext cx="5577223" cy="4051829"/>
                    </a:xfrm>
                    <a:prstGeom prst="rect">
                      <a:avLst/>
                    </a:prstGeom>
                  </pic:spPr>
                </pic:pic>
              </a:graphicData>
            </a:graphic>
          </wp:inline>
        </w:drawing>
      </w:r>
    </w:p>
    <w:p w:rsidR="00E36E92" w:rsidRDefault="00A965E0" w:rsidP="00A965E0">
      <w:pPr>
        <w:jc w:val="center"/>
        <w:rPr>
          <w:rFonts w:ascii="Arial" w:hAnsi="Arial" w:cs="Arial"/>
          <w:b/>
        </w:rPr>
      </w:pPr>
      <w:r>
        <w:rPr>
          <w:rFonts w:ascii="Arial" w:hAnsi="Arial" w:cs="Arial"/>
          <w:b/>
          <w:noProof/>
        </w:rPr>
        <w:drawing>
          <wp:inline distT="0" distB="0" distL="0" distR="0">
            <wp:extent cx="5194300" cy="389572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lligence-Maturity-Wales.jpg"/>
                    <pic:cNvPicPr/>
                  </pic:nvPicPr>
                  <pic:blipFill>
                    <a:blip r:embed="rId10">
                      <a:extLst>
                        <a:ext uri="{28A0092B-C50C-407E-A947-70E740481C1C}">
                          <a14:useLocalDpi xmlns:a14="http://schemas.microsoft.com/office/drawing/2010/main" val="0"/>
                        </a:ext>
                      </a:extLst>
                    </a:blip>
                    <a:stretch>
                      <a:fillRect/>
                    </a:stretch>
                  </pic:blipFill>
                  <pic:spPr>
                    <a:xfrm>
                      <a:off x="0" y="0"/>
                      <a:ext cx="5194917" cy="3896188"/>
                    </a:xfrm>
                    <a:prstGeom prst="rect">
                      <a:avLst/>
                    </a:prstGeom>
                  </pic:spPr>
                </pic:pic>
              </a:graphicData>
            </a:graphic>
          </wp:inline>
        </w:drawing>
      </w:r>
      <w:r w:rsidR="00E36E92">
        <w:rPr>
          <w:rFonts w:ascii="Arial" w:hAnsi="Arial" w:cs="Arial"/>
          <w:b/>
        </w:rPr>
        <w:br w:type="page"/>
      </w:r>
    </w:p>
    <w:p w:rsidR="00A965E0" w:rsidRDefault="00A965E0" w:rsidP="00A965E0">
      <w:pPr>
        <w:jc w:val="center"/>
        <w:rPr>
          <w:rFonts w:ascii="Arial" w:hAnsi="Arial" w:cs="Arial"/>
          <w:b/>
        </w:rPr>
      </w:pPr>
      <w:r>
        <w:rPr>
          <w:rFonts w:ascii="Arial" w:hAnsi="Arial" w:cs="Arial"/>
          <w:b/>
          <w:noProof/>
        </w:rPr>
        <w:lastRenderedPageBreak/>
        <w:drawing>
          <wp:inline distT="0" distB="0" distL="0" distR="0">
            <wp:extent cx="5372100" cy="402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INT-Spread.jpg"/>
                    <pic:cNvPicPr/>
                  </pic:nvPicPr>
                  <pic:blipFill>
                    <a:blip r:embed="rId11">
                      <a:extLst>
                        <a:ext uri="{28A0092B-C50C-407E-A947-70E740481C1C}">
                          <a14:useLocalDpi xmlns:a14="http://schemas.microsoft.com/office/drawing/2010/main" val="0"/>
                        </a:ext>
                      </a:extLst>
                    </a:blip>
                    <a:stretch>
                      <a:fillRect/>
                    </a:stretch>
                  </pic:blipFill>
                  <pic:spPr>
                    <a:xfrm>
                      <a:off x="0" y="0"/>
                      <a:ext cx="5374151" cy="4030613"/>
                    </a:xfrm>
                    <a:prstGeom prst="rect">
                      <a:avLst/>
                    </a:prstGeom>
                  </pic:spPr>
                </pic:pic>
              </a:graphicData>
            </a:graphic>
          </wp:inline>
        </w:drawing>
      </w:r>
    </w:p>
    <w:p w:rsidR="00A965E0" w:rsidRDefault="00A965E0" w:rsidP="00A965E0">
      <w:pPr>
        <w:jc w:val="center"/>
        <w:rPr>
          <w:rFonts w:ascii="Arial" w:hAnsi="Arial" w:cs="Arial"/>
          <w:b/>
        </w:rPr>
      </w:pPr>
      <w:r>
        <w:rPr>
          <w:rFonts w:ascii="Arial" w:hAnsi="Arial" w:cs="Arial"/>
          <w:b/>
          <w:noProof/>
        </w:rPr>
        <w:drawing>
          <wp:inline distT="0" distB="0" distL="0" distR="0">
            <wp:extent cx="5245100" cy="393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EE circles and list.jpg"/>
                    <pic:cNvPicPr/>
                  </pic:nvPicPr>
                  <pic:blipFill>
                    <a:blip r:embed="rId12">
                      <a:extLst>
                        <a:ext uri="{28A0092B-C50C-407E-A947-70E740481C1C}">
                          <a14:useLocalDpi xmlns:a14="http://schemas.microsoft.com/office/drawing/2010/main" val="0"/>
                        </a:ext>
                      </a:extLst>
                    </a:blip>
                    <a:stretch>
                      <a:fillRect/>
                    </a:stretch>
                  </pic:blipFill>
                  <pic:spPr>
                    <a:xfrm>
                      <a:off x="0" y="0"/>
                      <a:ext cx="5245925" cy="3934444"/>
                    </a:xfrm>
                    <a:prstGeom prst="rect">
                      <a:avLst/>
                    </a:prstGeom>
                  </pic:spPr>
                </pic:pic>
              </a:graphicData>
            </a:graphic>
          </wp:inline>
        </w:drawing>
      </w:r>
      <w:r>
        <w:rPr>
          <w:rFonts w:ascii="Arial" w:hAnsi="Arial" w:cs="Arial"/>
          <w:b/>
        </w:rPr>
        <w:br w:type="page"/>
      </w:r>
    </w:p>
    <w:p w:rsidR="00821690" w:rsidRDefault="00E3654A" w:rsidP="00821690">
      <w:pPr>
        <w:spacing w:after="0"/>
        <w:rPr>
          <w:rFonts w:ascii="Arial" w:hAnsi="Arial" w:cs="Arial"/>
          <w:b/>
        </w:rPr>
      </w:pPr>
      <w:r>
        <w:rPr>
          <w:rFonts w:ascii="Arial" w:hAnsi="Arial" w:cs="Arial"/>
          <w:b/>
        </w:rPr>
        <w:lastRenderedPageBreak/>
        <w:t>ENCLOSURE</w:t>
      </w:r>
      <w:r w:rsidR="00821690">
        <w:rPr>
          <w:rFonts w:ascii="Arial" w:hAnsi="Arial" w:cs="Arial"/>
          <w:b/>
        </w:rPr>
        <w:t>:</w:t>
      </w:r>
    </w:p>
    <w:p w:rsidR="00821690" w:rsidRDefault="00821690" w:rsidP="00821690">
      <w:pPr>
        <w:spacing w:after="0"/>
        <w:rPr>
          <w:rFonts w:ascii="Arial" w:hAnsi="Arial" w:cs="Arial"/>
          <w:b/>
        </w:rPr>
      </w:pPr>
    </w:p>
    <w:p w:rsidR="00821690" w:rsidRDefault="00A965E0" w:rsidP="00821690">
      <w:pPr>
        <w:spacing w:after="0"/>
        <w:rPr>
          <w:rFonts w:ascii="Arial" w:hAnsi="Arial" w:cs="Arial"/>
        </w:rPr>
      </w:pPr>
      <w:r>
        <w:rPr>
          <w:rFonts w:ascii="Arial" w:hAnsi="Arial" w:cs="Arial"/>
        </w:rPr>
        <w:t xml:space="preserve">Robert </w:t>
      </w:r>
      <w:r w:rsidR="00821690" w:rsidRPr="00821690">
        <w:rPr>
          <w:rFonts w:ascii="Arial" w:hAnsi="Arial" w:cs="Arial"/>
        </w:rPr>
        <w:t xml:space="preserve">David STEELE Vivas, </w:t>
      </w:r>
      <w:r w:rsidR="00821690" w:rsidRPr="00821690">
        <w:rPr>
          <w:rFonts w:ascii="Arial" w:hAnsi="Arial" w:cs="Arial"/>
          <w:i/>
        </w:rPr>
        <w:t xml:space="preserve">REINVENTING </w:t>
      </w:r>
      <w:r>
        <w:rPr>
          <w:rFonts w:ascii="Arial" w:hAnsi="Arial" w:cs="Arial"/>
          <w:i/>
        </w:rPr>
        <w:t>INTELLIGENCE: 30 Years in the Wilderness</w:t>
      </w:r>
      <w:r w:rsidR="00821690" w:rsidRPr="00821690">
        <w:rPr>
          <w:rFonts w:ascii="Arial" w:hAnsi="Arial" w:cs="Arial"/>
        </w:rPr>
        <w:t xml:space="preserve"> (Ea</w:t>
      </w:r>
      <w:r w:rsidR="00821690">
        <w:rPr>
          <w:rFonts w:ascii="Arial" w:hAnsi="Arial" w:cs="Arial"/>
        </w:rPr>
        <w:t>rth Intelligence Network, 2019</w:t>
      </w:r>
      <w:r>
        <w:rPr>
          <w:rFonts w:ascii="Arial" w:hAnsi="Arial" w:cs="Arial"/>
        </w:rPr>
        <w:t>).</w:t>
      </w:r>
      <w:r w:rsidR="00821690">
        <w:rPr>
          <w:rFonts w:ascii="Arial" w:hAnsi="Arial" w:cs="Arial"/>
        </w:rPr>
        <w:t xml:space="preserve">  Book available in both digital and color print form at Amazon.com.</w:t>
      </w:r>
    </w:p>
    <w:p w:rsidR="00821690" w:rsidRDefault="00821690" w:rsidP="003447F7">
      <w:pPr>
        <w:spacing w:after="0"/>
        <w:rPr>
          <w:rFonts w:ascii="Arial" w:hAnsi="Arial" w:cs="Arial"/>
          <w:b/>
        </w:rPr>
      </w:pPr>
    </w:p>
    <w:p w:rsidR="00821690" w:rsidRDefault="00821690" w:rsidP="003447F7">
      <w:pPr>
        <w:spacing w:after="0"/>
        <w:rPr>
          <w:rFonts w:ascii="Arial" w:hAnsi="Arial" w:cs="Arial"/>
          <w:b/>
        </w:rPr>
      </w:pPr>
    </w:p>
    <w:p w:rsidR="0096607D" w:rsidRDefault="006D10EB" w:rsidP="003447F7">
      <w:pPr>
        <w:spacing w:after="0"/>
        <w:rPr>
          <w:rFonts w:ascii="Arial" w:hAnsi="Arial" w:cs="Arial"/>
          <w:b/>
        </w:rPr>
      </w:pPr>
      <w:r w:rsidRPr="00821690">
        <w:rPr>
          <w:rFonts w:ascii="Arial" w:hAnsi="Arial" w:cs="Arial"/>
          <w:b/>
        </w:rPr>
        <w:t>DISTRIBUTION</w:t>
      </w:r>
      <w:r w:rsidR="00DC4B1B">
        <w:rPr>
          <w:rFonts w:ascii="Arial" w:hAnsi="Arial" w:cs="Arial"/>
          <w:b/>
        </w:rPr>
        <w:t xml:space="preserve"> (EACH WITH ENCLOSURE)</w:t>
      </w:r>
      <w:r w:rsidRPr="00821690">
        <w:rPr>
          <w:rFonts w:ascii="Arial" w:hAnsi="Arial" w:cs="Arial"/>
          <w:b/>
        </w:rPr>
        <w:t>:</w:t>
      </w:r>
    </w:p>
    <w:p w:rsidR="00A965E0" w:rsidRDefault="00A965E0" w:rsidP="003447F7">
      <w:pPr>
        <w:spacing w:after="0"/>
        <w:rPr>
          <w:rFonts w:ascii="Arial" w:hAnsi="Arial" w:cs="Arial"/>
          <w:b/>
        </w:rPr>
      </w:pPr>
    </w:p>
    <w:p w:rsidR="00A965E0" w:rsidRPr="00394BD8" w:rsidRDefault="00394BD8" w:rsidP="00394BD8">
      <w:pPr>
        <w:pStyle w:val="ListParagraph"/>
        <w:numPr>
          <w:ilvl w:val="0"/>
          <w:numId w:val="7"/>
        </w:numPr>
        <w:spacing w:after="0"/>
        <w:rPr>
          <w:rFonts w:ascii="Arial" w:hAnsi="Arial" w:cs="Arial"/>
        </w:rPr>
      </w:pPr>
      <w:r w:rsidRPr="00394BD8">
        <w:rPr>
          <w:rFonts w:ascii="Arial" w:hAnsi="Arial" w:cs="Arial"/>
        </w:rPr>
        <w:t>Director, Office of Management and Budget (OMB)</w:t>
      </w:r>
    </w:p>
    <w:p w:rsidR="00394BD8" w:rsidRPr="00394BD8" w:rsidRDefault="00394BD8" w:rsidP="00394BD8">
      <w:pPr>
        <w:pStyle w:val="ListParagraph"/>
        <w:numPr>
          <w:ilvl w:val="0"/>
          <w:numId w:val="7"/>
        </w:numPr>
        <w:spacing w:after="0"/>
        <w:rPr>
          <w:rFonts w:ascii="Arial" w:hAnsi="Arial" w:cs="Arial"/>
        </w:rPr>
      </w:pPr>
      <w:r w:rsidRPr="00394BD8">
        <w:rPr>
          <w:rFonts w:ascii="Arial" w:hAnsi="Arial" w:cs="Arial"/>
        </w:rPr>
        <w:t>Associate Deputy Director for National Security, OMB</w:t>
      </w:r>
    </w:p>
    <w:p w:rsidR="00394BD8" w:rsidRPr="00394BD8" w:rsidRDefault="00394BD8" w:rsidP="00394BD8">
      <w:pPr>
        <w:pStyle w:val="ListParagraph"/>
        <w:numPr>
          <w:ilvl w:val="0"/>
          <w:numId w:val="7"/>
        </w:numPr>
        <w:spacing w:after="0"/>
        <w:rPr>
          <w:rFonts w:ascii="Arial" w:hAnsi="Arial" w:cs="Arial"/>
        </w:rPr>
      </w:pPr>
      <w:r w:rsidRPr="00394BD8">
        <w:rPr>
          <w:rFonts w:ascii="Arial" w:hAnsi="Arial" w:cs="Arial"/>
        </w:rPr>
        <w:t>Acting Director of National Intelligence</w:t>
      </w:r>
    </w:p>
    <w:p w:rsidR="00394BD8" w:rsidRPr="00394BD8" w:rsidRDefault="00394BD8" w:rsidP="00394BD8">
      <w:pPr>
        <w:pStyle w:val="ListParagraph"/>
        <w:numPr>
          <w:ilvl w:val="0"/>
          <w:numId w:val="7"/>
        </w:numPr>
        <w:spacing w:after="0"/>
        <w:rPr>
          <w:rFonts w:ascii="Arial" w:hAnsi="Arial" w:cs="Arial"/>
        </w:rPr>
      </w:pPr>
      <w:r w:rsidRPr="00394BD8">
        <w:rPr>
          <w:rFonts w:ascii="Arial" w:hAnsi="Arial" w:cs="Arial"/>
        </w:rPr>
        <w:t>Director, Central Intelligence Agency</w:t>
      </w:r>
    </w:p>
    <w:p w:rsidR="00394BD8" w:rsidRPr="00394BD8" w:rsidRDefault="00394BD8" w:rsidP="00394BD8">
      <w:pPr>
        <w:pStyle w:val="ListParagraph"/>
        <w:numPr>
          <w:ilvl w:val="0"/>
          <w:numId w:val="7"/>
        </w:numPr>
        <w:spacing w:after="0"/>
        <w:rPr>
          <w:rFonts w:ascii="Arial" w:hAnsi="Arial" w:cs="Arial"/>
        </w:rPr>
      </w:pPr>
      <w:r w:rsidRPr="00394BD8">
        <w:rPr>
          <w:rFonts w:ascii="Arial" w:hAnsi="Arial" w:cs="Arial"/>
        </w:rPr>
        <w:t xml:space="preserve">Mr. Lou Dobbs, </w:t>
      </w:r>
      <w:r w:rsidR="001A70F6">
        <w:rPr>
          <w:rFonts w:ascii="Arial" w:hAnsi="Arial" w:cs="Arial"/>
        </w:rPr>
        <w:t>Citizen</w:t>
      </w:r>
    </w:p>
    <w:p w:rsidR="00394BD8" w:rsidRDefault="00394BD8" w:rsidP="00394BD8">
      <w:pPr>
        <w:pStyle w:val="ListParagraph"/>
        <w:numPr>
          <w:ilvl w:val="0"/>
          <w:numId w:val="7"/>
        </w:numPr>
        <w:spacing w:after="0"/>
        <w:rPr>
          <w:rFonts w:ascii="Arial" w:hAnsi="Arial" w:cs="Arial"/>
        </w:rPr>
      </w:pPr>
      <w:r w:rsidRPr="00394BD8">
        <w:rPr>
          <w:rFonts w:ascii="Arial" w:hAnsi="Arial" w:cs="Arial"/>
        </w:rPr>
        <w:t xml:space="preserve">Mr. Tucker Carlson, </w:t>
      </w:r>
      <w:r w:rsidR="001A70F6">
        <w:rPr>
          <w:rFonts w:ascii="Arial" w:hAnsi="Arial" w:cs="Arial"/>
        </w:rPr>
        <w:t>Citizen</w:t>
      </w:r>
    </w:p>
    <w:p w:rsidR="00394BD8" w:rsidRPr="00394BD8" w:rsidRDefault="00394BD8" w:rsidP="00394BD8">
      <w:pPr>
        <w:pStyle w:val="ListParagraph"/>
        <w:numPr>
          <w:ilvl w:val="0"/>
          <w:numId w:val="7"/>
        </w:numPr>
        <w:spacing w:after="0"/>
        <w:rPr>
          <w:rFonts w:ascii="Arial" w:hAnsi="Arial" w:cs="Arial"/>
        </w:rPr>
      </w:pPr>
      <w:r>
        <w:rPr>
          <w:rFonts w:ascii="Arial" w:hAnsi="Arial" w:cs="Arial"/>
        </w:rPr>
        <w:t>William Binney, Citizen</w:t>
      </w:r>
    </w:p>
    <w:p w:rsidR="00317690" w:rsidRPr="00E44FA5" w:rsidRDefault="00317690" w:rsidP="00317690">
      <w:pPr>
        <w:spacing w:after="0"/>
        <w:rPr>
          <w:rFonts w:ascii="Arial" w:hAnsi="Arial" w:cs="Arial"/>
          <w:b/>
        </w:rPr>
      </w:pPr>
    </w:p>
    <w:p w:rsidR="003A63DF" w:rsidRPr="00821690" w:rsidRDefault="003A63DF" w:rsidP="009519A0">
      <w:pPr>
        <w:spacing w:after="0"/>
        <w:rPr>
          <w:rFonts w:ascii="Arial" w:hAnsi="Arial" w:cs="Arial"/>
        </w:rPr>
      </w:pPr>
    </w:p>
    <w:p w:rsidR="00706A22" w:rsidRPr="00821690" w:rsidRDefault="00706A22" w:rsidP="003447F7">
      <w:pPr>
        <w:spacing w:after="0"/>
        <w:rPr>
          <w:rFonts w:ascii="Arial" w:hAnsi="Arial" w:cs="Arial"/>
          <w:b/>
        </w:rPr>
      </w:pPr>
      <w:r w:rsidRPr="00821690">
        <w:rPr>
          <w:rFonts w:ascii="Arial" w:hAnsi="Arial" w:cs="Arial"/>
          <w:b/>
        </w:rPr>
        <w:t>Publication</w:t>
      </w:r>
      <w:r w:rsidR="00DC4B1B">
        <w:rPr>
          <w:rFonts w:ascii="Arial" w:hAnsi="Arial" w:cs="Arial"/>
          <w:b/>
        </w:rPr>
        <w:t xml:space="preserve"> Scheduled</w:t>
      </w:r>
      <w:r w:rsidRPr="00821690">
        <w:rPr>
          <w:rFonts w:ascii="Arial" w:hAnsi="Arial" w:cs="Arial"/>
          <w:b/>
        </w:rPr>
        <w:t>:</w:t>
      </w:r>
    </w:p>
    <w:p w:rsidR="00BC7FE6" w:rsidRPr="00821690" w:rsidRDefault="00BC7FE6" w:rsidP="003447F7">
      <w:pPr>
        <w:spacing w:after="0"/>
        <w:rPr>
          <w:rFonts w:ascii="Arial" w:hAnsi="Arial" w:cs="Arial"/>
        </w:rPr>
      </w:pPr>
    </w:p>
    <w:p w:rsidR="00BC7FE6" w:rsidRPr="00821690" w:rsidRDefault="00A965E0" w:rsidP="003447F7">
      <w:pPr>
        <w:spacing w:after="0"/>
        <w:rPr>
          <w:rFonts w:ascii="Arial" w:hAnsi="Arial" w:cs="Arial"/>
        </w:rPr>
      </w:pPr>
      <w:r>
        <w:rPr>
          <w:rFonts w:ascii="Arial" w:hAnsi="Arial" w:cs="Arial"/>
        </w:rPr>
        <w:t>20200113</w:t>
      </w:r>
      <w:r w:rsidR="00BC7FE6" w:rsidRPr="00821690">
        <w:rPr>
          <w:rFonts w:ascii="Arial" w:hAnsi="Arial" w:cs="Arial"/>
        </w:rPr>
        <w:t xml:space="preserve"> </w:t>
      </w:r>
      <w:r w:rsidR="00DC4B1B">
        <w:rPr>
          <w:rFonts w:ascii="Arial" w:hAnsi="Arial" w:cs="Arial"/>
        </w:rPr>
        <w:t>“</w:t>
      </w:r>
      <w:r w:rsidR="00BC7FE6" w:rsidRPr="00821690">
        <w:rPr>
          <w:rFonts w:ascii="Arial" w:hAnsi="Arial" w:cs="Arial"/>
        </w:rPr>
        <w:t xml:space="preserve">Open Letter to the President: Reinventing </w:t>
      </w:r>
      <w:r>
        <w:rPr>
          <w:rFonts w:ascii="Arial" w:hAnsi="Arial" w:cs="Arial"/>
        </w:rPr>
        <w:t>Intelligence</w:t>
      </w:r>
      <w:r w:rsidR="00F60774" w:rsidRPr="00821690">
        <w:rPr>
          <w:rFonts w:ascii="Arial" w:hAnsi="Arial" w:cs="Arial"/>
        </w:rPr>
        <w:t>,</w:t>
      </w:r>
      <w:r w:rsidR="00DC4B1B">
        <w:rPr>
          <w:rFonts w:ascii="Arial" w:hAnsi="Arial" w:cs="Arial"/>
        </w:rPr>
        <w:t>”</w:t>
      </w:r>
      <w:r w:rsidR="00F60774" w:rsidRPr="00821690">
        <w:rPr>
          <w:rFonts w:ascii="Arial" w:hAnsi="Arial" w:cs="Arial"/>
        </w:rPr>
        <w:t xml:space="preserve"> </w:t>
      </w:r>
      <w:r w:rsidR="00DC4B1B" w:rsidRPr="00DC4B1B">
        <w:rPr>
          <w:rFonts w:ascii="Arial" w:hAnsi="Arial" w:cs="Arial"/>
          <w:i/>
        </w:rPr>
        <w:t>Phi</w:t>
      </w:r>
      <w:r w:rsidR="00F60774" w:rsidRPr="00DC4B1B">
        <w:rPr>
          <w:rFonts w:ascii="Arial" w:hAnsi="Arial" w:cs="Arial"/>
          <w:i/>
        </w:rPr>
        <w:t>BetaIota</w:t>
      </w:r>
      <w:r w:rsidR="00DC4B1B" w:rsidRPr="00DC4B1B">
        <w:rPr>
          <w:rFonts w:ascii="Arial" w:hAnsi="Arial" w:cs="Arial"/>
          <w:i/>
        </w:rPr>
        <w:t>.net</w:t>
      </w:r>
    </w:p>
    <w:sectPr w:rsidR="00BC7FE6" w:rsidRPr="00821690" w:rsidSect="005D2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0A" w:rsidRDefault="004F080A" w:rsidP="00821690">
      <w:pPr>
        <w:spacing w:after="0" w:line="240" w:lineRule="auto"/>
      </w:pPr>
      <w:r>
        <w:separator/>
      </w:r>
    </w:p>
  </w:endnote>
  <w:endnote w:type="continuationSeparator" w:id="0">
    <w:p w:rsidR="004F080A" w:rsidRDefault="004F080A" w:rsidP="0082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835976"/>
      <w:docPartObj>
        <w:docPartGallery w:val="Page Numbers (Bottom of Page)"/>
        <w:docPartUnique/>
      </w:docPartObj>
    </w:sdtPr>
    <w:sdtEndPr>
      <w:rPr>
        <w:noProof/>
      </w:rPr>
    </w:sdtEndPr>
    <w:sdtContent>
      <w:p w:rsidR="001872E6" w:rsidRDefault="001872E6">
        <w:pPr>
          <w:pStyle w:val="Footer"/>
          <w:jc w:val="center"/>
        </w:pPr>
        <w:r>
          <w:fldChar w:fldCharType="begin"/>
        </w:r>
        <w:r>
          <w:instrText xml:space="preserve"> PAGE   \* MERGEFORMAT </w:instrText>
        </w:r>
        <w:r>
          <w:fldChar w:fldCharType="separate"/>
        </w:r>
        <w:r w:rsidR="003352F6">
          <w:rPr>
            <w:noProof/>
          </w:rPr>
          <w:t>2</w:t>
        </w:r>
        <w:r>
          <w:rPr>
            <w:noProof/>
          </w:rPr>
          <w:fldChar w:fldCharType="end"/>
        </w:r>
      </w:p>
    </w:sdtContent>
  </w:sdt>
  <w:p w:rsidR="001872E6" w:rsidRDefault="0018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0A" w:rsidRDefault="004F080A" w:rsidP="00821690">
      <w:pPr>
        <w:spacing w:after="0" w:line="240" w:lineRule="auto"/>
      </w:pPr>
      <w:r>
        <w:separator/>
      </w:r>
    </w:p>
  </w:footnote>
  <w:footnote w:type="continuationSeparator" w:id="0">
    <w:p w:rsidR="004F080A" w:rsidRDefault="004F080A" w:rsidP="0082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637"/>
    <w:multiLevelType w:val="hybridMultilevel"/>
    <w:tmpl w:val="D7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F1A"/>
    <w:multiLevelType w:val="hybridMultilevel"/>
    <w:tmpl w:val="5FF6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F6C0E"/>
    <w:multiLevelType w:val="hybridMultilevel"/>
    <w:tmpl w:val="46883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55E8B"/>
    <w:multiLevelType w:val="hybridMultilevel"/>
    <w:tmpl w:val="827E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93C3E"/>
    <w:multiLevelType w:val="hybridMultilevel"/>
    <w:tmpl w:val="A788C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ED3226"/>
    <w:multiLevelType w:val="hybridMultilevel"/>
    <w:tmpl w:val="0E96E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8757CC"/>
    <w:multiLevelType w:val="hybridMultilevel"/>
    <w:tmpl w:val="F2E8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C4"/>
    <w:rsid w:val="00097C89"/>
    <w:rsid w:val="00182C0E"/>
    <w:rsid w:val="00183D92"/>
    <w:rsid w:val="001872E6"/>
    <w:rsid w:val="0019543B"/>
    <w:rsid w:val="001A70F6"/>
    <w:rsid w:val="001D4249"/>
    <w:rsid w:val="00203330"/>
    <w:rsid w:val="002038D3"/>
    <w:rsid w:val="00262DAC"/>
    <w:rsid w:val="0028677D"/>
    <w:rsid w:val="002B2689"/>
    <w:rsid w:val="002C187B"/>
    <w:rsid w:val="002F619A"/>
    <w:rsid w:val="0030415A"/>
    <w:rsid w:val="00317690"/>
    <w:rsid w:val="00324EDA"/>
    <w:rsid w:val="003352F6"/>
    <w:rsid w:val="003447F7"/>
    <w:rsid w:val="0035440C"/>
    <w:rsid w:val="00394BD8"/>
    <w:rsid w:val="003A63DF"/>
    <w:rsid w:val="003D552A"/>
    <w:rsid w:val="00483F0C"/>
    <w:rsid w:val="004A39A8"/>
    <w:rsid w:val="004C3826"/>
    <w:rsid w:val="004F080A"/>
    <w:rsid w:val="00545DF2"/>
    <w:rsid w:val="005B61FC"/>
    <w:rsid w:val="005D2E53"/>
    <w:rsid w:val="006521E2"/>
    <w:rsid w:val="006D10EB"/>
    <w:rsid w:val="006F7BF5"/>
    <w:rsid w:val="00706A22"/>
    <w:rsid w:val="007673DE"/>
    <w:rsid w:val="00821690"/>
    <w:rsid w:val="00844D12"/>
    <w:rsid w:val="00861984"/>
    <w:rsid w:val="00865DE3"/>
    <w:rsid w:val="008676D4"/>
    <w:rsid w:val="00896317"/>
    <w:rsid w:val="008E400F"/>
    <w:rsid w:val="009519A0"/>
    <w:rsid w:val="0096607D"/>
    <w:rsid w:val="009C7109"/>
    <w:rsid w:val="00A965E0"/>
    <w:rsid w:val="00AA2EF9"/>
    <w:rsid w:val="00B129D0"/>
    <w:rsid w:val="00B356D5"/>
    <w:rsid w:val="00BA7D84"/>
    <w:rsid w:val="00BC5E15"/>
    <w:rsid w:val="00BC7FE6"/>
    <w:rsid w:val="00C2260E"/>
    <w:rsid w:val="00C3381C"/>
    <w:rsid w:val="00CF6C28"/>
    <w:rsid w:val="00D44449"/>
    <w:rsid w:val="00DC4B1B"/>
    <w:rsid w:val="00DE62A8"/>
    <w:rsid w:val="00E129C4"/>
    <w:rsid w:val="00E14F4F"/>
    <w:rsid w:val="00E30440"/>
    <w:rsid w:val="00E3518C"/>
    <w:rsid w:val="00E3654A"/>
    <w:rsid w:val="00E36E92"/>
    <w:rsid w:val="00E44FA5"/>
    <w:rsid w:val="00F470B0"/>
    <w:rsid w:val="00F5022E"/>
    <w:rsid w:val="00F537C1"/>
    <w:rsid w:val="00F60774"/>
    <w:rsid w:val="00F64389"/>
    <w:rsid w:val="00F7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AD10C-3DD1-4FE9-A0DF-C94DF427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9C4"/>
    <w:rPr>
      <w:color w:val="0563C1" w:themeColor="hyperlink"/>
      <w:u w:val="single"/>
    </w:rPr>
  </w:style>
  <w:style w:type="paragraph" w:styleId="ListParagraph">
    <w:name w:val="List Paragraph"/>
    <w:basedOn w:val="Normal"/>
    <w:uiPriority w:val="34"/>
    <w:qFormat/>
    <w:rsid w:val="00BA7D84"/>
    <w:pPr>
      <w:ind w:left="720"/>
      <w:contextualSpacing/>
    </w:pPr>
  </w:style>
  <w:style w:type="paragraph" w:styleId="BalloonText">
    <w:name w:val="Balloon Text"/>
    <w:basedOn w:val="Normal"/>
    <w:link w:val="BalloonTextChar"/>
    <w:uiPriority w:val="99"/>
    <w:semiHidden/>
    <w:unhideWhenUsed/>
    <w:rsid w:val="0096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7D"/>
    <w:rPr>
      <w:rFonts w:ascii="Segoe UI" w:hAnsi="Segoe UI" w:cs="Segoe UI"/>
      <w:sz w:val="18"/>
      <w:szCs w:val="18"/>
    </w:rPr>
  </w:style>
  <w:style w:type="paragraph" w:styleId="Header">
    <w:name w:val="header"/>
    <w:basedOn w:val="Normal"/>
    <w:link w:val="HeaderChar"/>
    <w:uiPriority w:val="99"/>
    <w:unhideWhenUsed/>
    <w:rsid w:val="0082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90"/>
  </w:style>
  <w:style w:type="paragraph" w:styleId="Footer">
    <w:name w:val="footer"/>
    <w:basedOn w:val="Normal"/>
    <w:link w:val="FooterChar"/>
    <w:uiPriority w:val="99"/>
    <w:unhideWhenUsed/>
    <w:rsid w:val="0082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8951">
      <w:bodyDiv w:val="1"/>
      <w:marLeft w:val="0"/>
      <w:marRight w:val="0"/>
      <w:marTop w:val="0"/>
      <w:marBottom w:val="0"/>
      <w:divBdr>
        <w:top w:val="none" w:sz="0" w:space="0" w:color="auto"/>
        <w:left w:val="none" w:sz="0" w:space="0" w:color="auto"/>
        <w:bottom w:val="none" w:sz="0" w:space="0" w:color="auto"/>
        <w:right w:val="none" w:sz="0" w:space="0" w:color="auto"/>
      </w:divBdr>
      <w:divsChild>
        <w:div w:id="1115759269">
          <w:marLeft w:val="360"/>
          <w:marRight w:val="0"/>
          <w:marTop w:val="0"/>
          <w:marBottom w:val="0"/>
          <w:divBdr>
            <w:top w:val="none" w:sz="0" w:space="0" w:color="auto"/>
            <w:left w:val="none" w:sz="0" w:space="0" w:color="auto"/>
            <w:bottom w:val="none" w:sz="0" w:space="0" w:color="auto"/>
            <w:right w:val="none" w:sz="0" w:space="0" w:color="auto"/>
          </w:divBdr>
        </w:div>
        <w:div w:id="919027809">
          <w:marLeft w:val="360"/>
          <w:marRight w:val="0"/>
          <w:marTop w:val="0"/>
          <w:marBottom w:val="0"/>
          <w:divBdr>
            <w:top w:val="none" w:sz="0" w:space="0" w:color="auto"/>
            <w:left w:val="none" w:sz="0" w:space="0" w:color="auto"/>
            <w:bottom w:val="none" w:sz="0" w:space="0" w:color="auto"/>
            <w:right w:val="none" w:sz="0" w:space="0" w:color="auto"/>
          </w:divBdr>
        </w:div>
        <w:div w:id="1485076953">
          <w:marLeft w:val="360"/>
          <w:marRight w:val="0"/>
          <w:marTop w:val="0"/>
          <w:marBottom w:val="0"/>
          <w:divBdr>
            <w:top w:val="none" w:sz="0" w:space="0" w:color="auto"/>
            <w:left w:val="none" w:sz="0" w:space="0" w:color="auto"/>
            <w:bottom w:val="none" w:sz="0" w:space="0" w:color="auto"/>
            <w:right w:val="none" w:sz="0" w:space="0" w:color="auto"/>
          </w:divBdr>
        </w:div>
        <w:div w:id="672144797">
          <w:marLeft w:val="360"/>
          <w:marRight w:val="0"/>
          <w:marTop w:val="0"/>
          <w:marBottom w:val="0"/>
          <w:divBdr>
            <w:top w:val="none" w:sz="0" w:space="0" w:color="auto"/>
            <w:left w:val="none" w:sz="0" w:space="0" w:color="auto"/>
            <w:bottom w:val="none" w:sz="0" w:space="0" w:color="auto"/>
            <w:right w:val="none" w:sz="0" w:space="0" w:color="auto"/>
          </w:divBdr>
        </w:div>
        <w:div w:id="669606235">
          <w:marLeft w:val="360"/>
          <w:marRight w:val="0"/>
          <w:marTop w:val="0"/>
          <w:marBottom w:val="0"/>
          <w:divBdr>
            <w:top w:val="none" w:sz="0" w:space="0" w:color="auto"/>
            <w:left w:val="none" w:sz="0" w:space="0" w:color="auto"/>
            <w:bottom w:val="none" w:sz="0" w:space="0" w:color="auto"/>
            <w:right w:val="none" w:sz="0" w:space="0" w:color="auto"/>
          </w:divBdr>
        </w:div>
        <w:div w:id="99952859">
          <w:marLeft w:val="360"/>
          <w:marRight w:val="0"/>
          <w:marTop w:val="0"/>
          <w:marBottom w:val="0"/>
          <w:divBdr>
            <w:top w:val="none" w:sz="0" w:space="0" w:color="auto"/>
            <w:left w:val="none" w:sz="0" w:space="0" w:color="auto"/>
            <w:bottom w:val="none" w:sz="0" w:space="0" w:color="auto"/>
            <w:right w:val="none" w:sz="0" w:space="0" w:color="auto"/>
          </w:divBdr>
        </w:div>
        <w:div w:id="1723290686">
          <w:marLeft w:val="360"/>
          <w:marRight w:val="0"/>
          <w:marTop w:val="0"/>
          <w:marBottom w:val="0"/>
          <w:divBdr>
            <w:top w:val="none" w:sz="0" w:space="0" w:color="auto"/>
            <w:left w:val="none" w:sz="0" w:space="0" w:color="auto"/>
            <w:bottom w:val="none" w:sz="0" w:space="0" w:color="auto"/>
            <w:right w:val="none" w:sz="0" w:space="0" w:color="auto"/>
          </w:divBdr>
        </w:div>
        <w:div w:id="1952544808">
          <w:marLeft w:val="360"/>
          <w:marRight w:val="0"/>
          <w:marTop w:val="0"/>
          <w:marBottom w:val="0"/>
          <w:divBdr>
            <w:top w:val="none" w:sz="0" w:space="0" w:color="auto"/>
            <w:left w:val="none" w:sz="0" w:space="0" w:color="auto"/>
            <w:bottom w:val="none" w:sz="0" w:space="0" w:color="auto"/>
            <w:right w:val="none" w:sz="0" w:space="0" w:color="auto"/>
          </w:divBdr>
        </w:div>
        <w:div w:id="980617756">
          <w:marLeft w:val="360"/>
          <w:marRight w:val="0"/>
          <w:marTop w:val="0"/>
          <w:marBottom w:val="0"/>
          <w:divBdr>
            <w:top w:val="none" w:sz="0" w:space="0" w:color="auto"/>
            <w:left w:val="none" w:sz="0" w:space="0" w:color="auto"/>
            <w:bottom w:val="none" w:sz="0" w:space="0" w:color="auto"/>
            <w:right w:val="none" w:sz="0" w:space="0" w:color="auto"/>
          </w:divBdr>
        </w:div>
        <w:div w:id="1612735955">
          <w:marLeft w:val="360"/>
          <w:marRight w:val="0"/>
          <w:marTop w:val="0"/>
          <w:marBottom w:val="0"/>
          <w:divBdr>
            <w:top w:val="none" w:sz="0" w:space="0" w:color="auto"/>
            <w:left w:val="none" w:sz="0" w:space="0" w:color="auto"/>
            <w:bottom w:val="none" w:sz="0" w:space="0" w:color="auto"/>
            <w:right w:val="none" w:sz="0" w:space="0" w:color="auto"/>
          </w:divBdr>
        </w:div>
        <w:div w:id="1666786823">
          <w:marLeft w:val="360"/>
          <w:marRight w:val="0"/>
          <w:marTop w:val="0"/>
          <w:marBottom w:val="0"/>
          <w:divBdr>
            <w:top w:val="none" w:sz="0" w:space="0" w:color="auto"/>
            <w:left w:val="none" w:sz="0" w:space="0" w:color="auto"/>
            <w:bottom w:val="none" w:sz="0" w:space="0" w:color="auto"/>
            <w:right w:val="none" w:sz="0" w:space="0" w:color="auto"/>
          </w:divBdr>
        </w:div>
        <w:div w:id="2142458697">
          <w:marLeft w:val="360"/>
          <w:marRight w:val="0"/>
          <w:marTop w:val="0"/>
          <w:marBottom w:val="0"/>
          <w:divBdr>
            <w:top w:val="none" w:sz="0" w:space="0" w:color="auto"/>
            <w:left w:val="none" w:sz="0" w:space="0" w:color="auto"/>
            <w:bottom w:val="none" w:sz="0" w:space="0" w:color="auto"/>
            <w:right w:val="none" w:sz="0" w:space="0" w:color="auto"/>
          </w:divBdr>
        </w:div>
        <w:div w:id="1240480364">
          <w:marLeft w:val="360"/>
          <w:marRight w:val="0"/>
          <w:marTop w:val="0"/>
          <w:marBottom w:val="0"/>
          <w:divBdr>
            <w:top w:val="none" w:sz="0" w:space="0" w:color="auto"/>
            <w:left w:val="none" w:sz="0" w:space="0" w:color="auto"/>
            <w:bottom w:val="none" w:sz="0" w:space="0" w:color="auto"/>
            <w:right w:val="none" w:sz="0" w:space="0" w:color="auto"/>
          </w:divBdr>
        </w:div>
        <w:div w:id="1468430160">
          <w:marLeft w:val="360"/>
          <w:marRight w:val="0"/>
          <w:marTop w:val="0"/>
          <w:marBottom w:val="0"/>
          <w:divBdr>
            <w:top w:val="none" w:sz="0" w:space="0" w:color="auto"/>
            <w:left w:val="none" w:sz="0" w:space="0" w:color="auto"/>
            <w:bottom w:val="none" w:sz="0" w:space="0" w:color="auto"/>
            <w:right w:val="none" w:sz="0" w:space="0" w:color="auto"/>
          </w:divBdr>
        </w:div>
        <w:div w:id="1455783135">
          <w:marLeft w:val="360"/>
          <w:marRight w:val="0"/>
          <w:marTop w:val="0"/>
          <w:marBottom w:val="0"/>
          <w:divBdr>
            <w:top w:val="none" w:sz="0" w:space="0" w:color="auto"/>
            <w:left w:val="none" w:sz="0" w:space="0" w:color="auto"/>
            <w:bottom w:val="none" w:sz="0" w:space="0" w:color="auto"/>
            <w:right w:val="none" w:sz="0" w:space="0" w:color="auto"/>
          </w:divBdr>
        </w:div>
        <w:div w:id="927465726">
          <w:marLeft w:val="360"/>
          <w:marRight w:val="0"/>
          <w:marTop w:val="0"/>
          <w:marBottom w:val="0"/>
          <w:divBdr>
            <w:top w:val="none" w:sz="0" w:space="0" w:color="auto"/>
            <w:left w:val="none" w:sz="0" w:space="0" w:color="auto"/>
            <w:bottom w:val="none" w:sz="0" w:space="0" w:color="auto"/>
            <w:right w:val="none" w:sz="0" w:space="0" w:color="auto"/>
          </w:divBdr>
        </w:div>
      </w:divsChild>
    </w:div>
    <w:div w:id="773940810">
      <w:bodyDiv w:val="1"/>
      <w:marLeft w:val="0"/>
      <w:marRight w:val="0"/>
      <w:marTop w:val="0"/>
      <w:marBottom w:val="0"/>
      <w:divBdr>
        <w:top w:val="none" w:sz="0" w:space="0" w:color="auto"/>
        <w:left w:val="none" w:sz="0" w:space="0" w:color="auto"/>
        <w:bottom w:val="none" w:sz="0" w:space="0" w:color="auto"/>
        <w:right w:val="none" w:sz="0" w:space="0" w:color="auto"/>
      </w:divBdr>
      <w:divsChild>
        <w:div w:id="952445589">
          <w:marLeft w:val="0"/>
          <w:marRight w:val="0"/>
          <w:marTop w:val="0"/>
          <w:marBottom w:val="0"/>
          <w:divBdr>
            <w:top w:val="none" w:sz="0" w:space="0" w:color="auto"/>
            <w:left w:val="none" w:sz="0" w:space="0" w:color="auto"/>
            <w:bottom w:val="none" w:sz="0" w:space="0" w:color="auto"/>
            <w:right w:val="none" w:sz="0" w:space="0" w:color="auto"/>
          </w:divBdr>
        </w:div>
      </w:divsChild>
    </w:div>
    <w:div w:id="1202278487">
      <w:bodyDiv w:val="1"/>
      <w:marLeft w:val="0"/>
      <w:marRight w:val="0"/>
      <w:marTop w:val="0"/>
      <w:marBottom w:val="0"/>
      <w:divBdr>
        <w:top w:val="none" w:sz="0" w:space="0" w:color="auto"/>
        <w:left w:val="none" w:sz="0" w:space="0" w:color="auto"/>
        <w:bottom w:val="none" w:sz="0" w:space="0" w:color="auto"/>
        <w:right w:val="none" w:sz="0" w:space="0" w:color="auto"/>
      </w:divBdr>
      <w:divsChild>
        <w:div w:id="1327241787">
          <w:marLeft w:val="720"/>
          <w:marRight w:val="0"/>
          <w:marTop w:val="0"/>
          <w:marBottom w:val="0"/>
          <w:divBdr>
            <w:top w:val="none" w:sz="0" w:space="0" w:color="auto"/>
            <w:left w:val="none" w:sz="0" w:space="0" w:color="auto"/>
            <w:bottom w:val="none" w:sz="0" w:space="0" w:color="auto"/>
            <w:right w:val="none" w:sz="0" w:space="0" w:color="auto"/>
          </w:divBdr>
        </w:div>
        <w:div w:id="1207185169">
          <w:marLeft w:val="720"/>
          <w:marRight w:val="0"/>
          <w:marTop w:val="0"/>
          <w:marBottom w:val="0"/>
          <w:divBdr>
            <w:top w:val="none" w:sz="0" w:space="0" w:color="auto"/>
            <w:left w:val="none" w:sz="0" w:space="0" w:color="auto"/>
            <w:bottom w:val="none" w:sz="0" w:space="0" w:color="auto"/>
            <w:right w:val="none" w:sz="0" w:space="0" w:color="auto"/>
          </w:divBdr>
        </w:div>
        <w:div w:id="733161474">
          <w:marLeft w:val="720"/>
          <w:marRight w:val="0"/>
          <w:marTop w:val="0"/>
          <w:marBottom w:val="0"/>
          <w:divBdr>
            <w:top w:val="none" w:sz="0" w:space="0" w:color="auto"/>
            <w:left w:val="none" w:sz="0" w:space="0" w:color="auto"/>
            <w:bottom w:val="none" w:sz="0" w:space="0" w:color="auto"/>
            <w:right w:val="none" w:sz="0" w:space="0" w:color="auto"/>
          </w:divBdr>
        </w:div>
        <w:div w:id="1877114828">
          <w:marLeft w:val="720"/>
          <w:marRight w:val="0"/>
          <w:marTop w:val="0"/>
          <w:marBottom w:val="0"/>
          <w:divBdr>
            <w:top w:val="none" w:sz="0" w:space="0" w:color="auto"/>
            <w:left w:val="none" w:sz="0" w:space="0" w:color="auto"/>
            <w:bottom w:val="none" w:sz="0" w:space="0" w:color="auto"/>
            <w:right w:val="none" w:sz="0" w:space="0" w:color="auto"/>
          </w:divBdr>
        </w:div>
        <w:div w:id="1384989816">
          <w:marLeft w:val="720"/>
          <w:marRight w:val="0"/>
          <w:marTop w:val="0"/>
          <w:marBottom w:val="0"/>
          <w:divBdr>
            <w:top w:val="none" w:sz="0" w:space="0" w:color="auto"/>
            <w:left w:val="none" w:sz="0" w:space="0" w:color="auto"/>
            <w:bottom w:val="none" w:sz="0" w:space="0" w:color="auto"/>
            <w:right w:val="none" w:sz="0" w:space="0" w:color="auto"/>
          </w:divBdr>
        </w:div>
        <w:div w:id="1577782069">
          <w:marLeft w:val="720"/>
          <w:marRight w:val="0"/>
          <w:marTop w:val="0"/>
          <w:marBottom w:val="0"/>
          <w:divBdr>
            <w:top w:val="none" w:sz="0" w:space="0" w:color="auto"/>
            <w:left w:val="none" w:sz="0" w:space="0" w:color="auto"/>
            <w:bottom w:val="none" w:sz="0" w:space="0" w:color="auto"/>
            <w:right w:val="none" w:sz="0" w:space="0" w:color="auto"/>
          </w:divBdr>
        </w:div>
        <w:div w:id="72705126">
          <w:marLeft w:val="720"/>
          <w:marRight w:val="0"/>
          <w:marTop w:val="0"/>
          <w:marBottom w:val="0"/>
          <w:divBdr>
            <w:top w:val="none" w:sz="0" w:space="0" w:color="auto"/>
            <w:left w:val="none" w:sz="0" w:space="0" w:color="auto"/>
            <w:bottom w:val="none" w:sz="0" w:space="0" w:color="auto"/>
            <w:right w:val="none" w:sz="0" w:space="0" w:color="auto"/>
          </w:divBdr>
        </w:div>
        <w:div w:id="1126974161">
          <w:marLeft w:val="720"/>
          <w:marRight w:val="0"/>
          <w:marTop w:val="0"/>
          <w:marBottom w:val="0"/>
          <w:divBdr>
            <w:top w:val="none" w:sz="0" w:space="0" w:color="auto"/>
            <w:left w:val="none" w:sz="0" w:space="0" w:color="auto"/>
            <w:bottom w:val="none" w:sz="0" w:space="0" w:color="auto"/>
            <w:right w:val="none" w:sz="0" w:space="0" w:color="auto"/>
          </w:divBdr>
        </w:div>
        <w:div w:id="1688021974">
          <w:marLeft w:val="720"/>
          <w:marRight w:val="0"/>
          <w:marTop w:val="0"/>
          <w:marBottom w:val="0"/>
          <w:divBdr>
            <w:top w:val="none" w:sz="0" w:space="0" w:color="auto"/>
            <w:left w:val="none" w:sz="0" w:space="0" w:color="auto"/>
            <w:bottom w:val="none" w:sz="0" w:space="0" w:color="auto"/>
            <w:right w:val="none" w:sz="0" w:space="0" w:color="auto"/>
          </w:divBdr>
        </w:div>
        <w:div w:id="1140803110">
          <w:marLeft w:val="720"/>
          <w:marRight w:val="0"/>
          <w:marTop w:val="0"/>
          <w:marBottom w:val="0"/>
          <w:divBdr>
            <w:top w:val="none" w:sz="0" w:space="0" w:color="auto"/>
            <w:left w:val="none" w:sz="0" w:space="0" w:color="auto"/>
            <w:bottom w:val="none" w:sz="0" w:space="0" w:color="auto"/>
            <w:right w:val="none" w:sz="0" w:space="0" w:color="auto"/>
          </w:divBdr>
        </w:div>
        <w:div w:id="1308516248">
          <w:marLeft w:val="720"/>
          <w:marRight w:val="0"/>
          <w:marTop w:val="0"/>
          <w:marBottom w:val="0"/>
          <w:divBdr>
            <w:top w:val="none" w:sz="0" w:space="0" w:color="auto"/>
            <w:left w:val="none" w:sz="0" w:space="0" w:color="auto"/>
            <w:bottom w:val="none" w:sz="0" w:space="0" w:color="auto"/>
            <w:right w:val="none" w:sz="0" w:space="0" w:color="auto"/>
          </w:divBdr>
        </w:div>
        <w:div w:id="1808476813">
          <w:marLeft w:val="720"/>
          <w:marRight w:val="0"/>
          <w:marTop w:val="0"/>
          <w:marBottom w:val="0"/>
          <w:divBdr>
            <w:top w:val="none" w:sz="0" w:space="0" w:color="auto"/>
            <w:left w:val="none" w:sz="0" w:space="0" w:color="auto"/>
            <w:bottom w:val="none" w:sz="0" w:space="0" w:color="auto"/>
            <w:right w:val="none" w:sz="0" w:space="0" w:color="auto"/>
          </w:divBdr>
        </w:div>
        <w:div w:id="1946231317">
          <w:marLeft w:val="720"/>
          <w:marRight w:val="0"/>
          <w:marTop w:val="0"/>
          <w:marBottom w:val="0"/>
          <w:divBdr>
            <w:top w:val="none" w:sz="0" w:space="0" w:color="auto"/>
            <w:left w:val="none" w:sz="0" w:space="0" w:color="auto"/>
            <w:bottom w:val="none" w:sz="0" w:space="0" w:color="auto"/>
            <w:right w:val="none" w:sz="0" w:space="0" w:color="auto"/>
          </w:divBdr>
        </w:div>
        <w:div w:id="302852291">
          <w:marLeft w:val="720"/>
          <w:marRight w:val="0"/>
          <w:marTop w:val="0"/>
          <w:marBottom w:val="0"/>
          <w:divBdr>
            <w:top w:val="none" w:sz="0" w:space="0" w:color="auto"/>
            <w:left w:val="none" w:sz="0" w:space="0" w:color="auto"/>
            <w:bottom w:val="none" w:sz="0" w:space="0" w:color="auto"/>
            <w:right w:val="none" w:sz="0" w:space="0" w:color="auto"/>
          </w:divBdr>
        </w:div>
        <w:div w:id="1266376861">
          <w:marLeft w:val="720"/>
          <w:marRight w:val="0"/>
          <w:marTop w:val="0"/>
          <w:marBottom w:val="0"/>
          <w:divBdr>
            <w:top w:val="none" w:sz="0" w:space="0" w:color="auto"/>
            <w:left w:val="none" w:sz="0" w:space="0" w:color="auto"/>
            <w:bottom w:val="none" w:sz="0" w:space="0" w:color="auto"/>
            <w:right w:val="none" w:sz="0" w:space="0" w:color="auto"/>
          </w:divBdr>
        </w:div>
        <w:div w:id="160392867">
          <w:marLeft w:val="720"/>
          <w:marRight w:val="0"/>
          <w:marTop w:val="0"/>
          <w:marBottom w:val="0"/>
          <w:divBdr>
            <w:top w:val="none" w:sz="0" w:space="0" w:color="auto"/>
            <w:left w:val="none" w:sz="0" w:space="0" w:color="auto"/>
            <w:bottom w:val="none" w:sz="0" w:space="0" w:color="auto"/>
            <w:right w:val="none" w:sz="0" w:space="0" w:color="auto"/>
          </w:divBdr>
        </w:div>
        <w:div w:id="486436269">
          <w:marLeft w:val="720"/>
          <w:marRight w:val="0"/>
          <w:marTop w:val="0"/>
          <w:marBottom w:val="0"/>
          <w:divBdr>
            <w:top w:val="none" w:sz="0" w:space="0" w:color="auto"/>
            <w:left w:val="none" w:sz="0" w:space="0" w:color="auto"/>
            <w:bottom w:val="none" w:sz="0" w:space="0" w:color="auto"/>
            <w:right w:val="none" w:sz="0" w:space="0" w:color="auto"/>
          </w:divBdr>
        </w:div>
        <w:div w:id="998076782">
          <w:marLeft w:val="720"/>
          <w:marRight w:val="0"/>
          <w:marTop w:val="0"/>
          <w:marBottom w:val="0"/>
          <w:divBdr>
            <w:top w:val="none" w:sz="0" w:space="0" w:color="auto"/>
            <w:left w:val="none" w:sz="0" w:space="0" w:color="auto"/>
            <w:bottom w:val="none" w:sz="0" w:space="0" w:color="auto"/>
            <w:right w:val="none" w:sz="0" w:space="0" w:color="auto"/>
          </w:divBdr>
        </w:div>
        <w:div w:id="1109201467">
          <w:marLeft w:val="720"/>
          <w:marRight w:val="0"/>
          <w:marTop w:val="0"/>
          <w:marBottom w:val="0"/>
          <w:divBdr>
            <w:top w:val="none" w:sz="0" w:space="0" w:color="auto"/>
            <w:left w:val="none" w:sz="0" w:space="0" w:color="auto"/>
            <w:bottom w:val="none" w:sz="0" w:space="0" w:color="auto"/>
            <w:right w:val="none" w:sz="0" w:space="0" w:color="auto"/>
          </w:divBdr>
        </w:div>
        <w:div w:id="1811635205">
          <w:marLeft w:val="720"/>
          <w:marRight w:val="0"/>
          <w:marTop w:val="0"/>
          <w:marBottom w:val="0"/>
          <w:divBdr>
            <w:top w:val="none" w:sz="0" w:space="0" w:color="auto"/>
            <w:left w:val="none" w:sz="0" w:space="0" w:color="auto"/>
            <w:bottom w:val="none" w:sz="0" w:space="0" w:color="auto"/>
            <w:right w:val="none" w:sz="0" w:space="0" w:color="auto"/>
          </w:divBdr>
        </w:div>
        <w:div w:id="14935268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2020-01-08T14:24:00Z</cp:lastPrinted>
  <dcterms:created xsi:type="dcterms:W3CDTF">2020-01-08T14:26:00Z</dcterms:created>
  <dcterms:modified xsi:type="dcterms:W3CDTF">2020-01-08T14:26:00Z</dcterms:modified>
</cp:coreProperties>
</file>