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8F37A" w14:textId="510DB015" w:rsidR="002E4BB4" w:rsidRPr="00153D61" w:rsidRDefault="007F313E" w:rsidP="00B4036C">
      <w:pPr>
        <w:jc w:val="center"/>
        <w:rPr>
          <w:sz w:val="40"/>
          <w:szCs w:val="40"/>
          <w:lang w:val="en-GB"/>
        </w:rPr>
      </w:pPr>
      <w:r>
        <w:rPr>
          <w:sz w:val="40"/>
          <w:szCs w:val="40"/>
          <w:lang w:val="en-GB"/>
        </w:rPr>
        <w:t>Legal Review of the D</w:t>
      </w:r>
      <w:r w:rsidR="005B3F63">
        <w:rPr>
          <w:sz w:val="40"/>
          <w:szCs w:val="40"/>
          <w:lang w:val="en-GB"/>
        </w:rPr>
        <w:t xml:space="preserve">raft 2021-2027 </w:t>
      </w:r>
      <w:r>
        <w:rPr>
          <w:sz w:val="40"/>
          <w:szCs w:val="40"/>
          <w:lang w:val="en-GB"/>
        </w:rPr>
        <w:t>EU B</w:t>
      </w:r>
      <w:r w:rsidR="005B3F63">
        <w:rPr>
          <w:sz w:val="40"/>
          <w:szCs w:val="40"/>
          <w:lang w:val="en-GB"/>
        </w:rPr>
        <w:t xml:space="preserve">udget </w:t>
      </w:r>
    </w:p>
    <w:p w14:paraId="62A26354" w14:textId="6FB64B90" w:rsidR="004F0028" w:rsidRPr="00153D61" w:rsidRDefault="005B3F63" w:rsidP="004F0028">
      <w:pPr>
        <w:pStyle w:val="ListParagraph"/>
        <w:numPr>
          <w:ilvl w:val="0"/>
          <w:numId w:val="1"/>
        </w:numPr>
        <w:jc w:val="center"/>
        <w:rPr>
          <w:sz w:val="40"/>
          <w:szCs w:val="40"/>
          <w:lang w:val="en-GB"/>
        </w:rPr>
      </w:pPr>
      <w:r>
        <w:rPr>
          <w:sz w:val="40"/>
          <w:szCs w:val="40"/>
          <w:lang w:val="en-GB"/>
        </w:rPr>
        <w:t>Summary</w:t>
      </w:r>
      <w:r w:rsidR="004F0028" w:rsidRPr="00153D61">
        <w:rPr>
          <w:sz w:val="40"/>
          <w:szCs w:val="40"/>
          <w:lang w:val="en-GB"/>
        </w:rPr>
        <w:t xml:space="preserve"> -</w:t>
      </w:r>
    </w:p>
    <w:p w14:paraId="54BF9EB9" w14:textId="0663761A" w:rsidR="00B4036C" w:rsidRPr="00153D61" w:rsidRDefault="00B4036C" w:rsidP="00B4036C">
      <w:pPr>
        <w:jc w:val="center"/>
        <w:rPr>
          <w:sz w:val="40"/>
          <w:szCs w:val="40"/>
          <w:lang w:val="en-GB"/>
        </w:rPr>
      </w:pPr>
      <w:r w:rsidRPr="00153D61">
        <w:rPr>
          <w:sz w:val="40"/>
          <w:szCs w:val="40"/>
          <w:lang w:val="en-GB"/>
        </w:rPr>
        <w:t>Valérie Bugault</w:t>
      </w:r>
    </w:p>
    <w:p w14:paraId="30B68396" w14:textId="157A17EE" w:rsidR="00B4036C" w:rsidRPr="00153D61" w:rsidRDefault="00B4036C" w:rsidP="00B4036C">
      <w:pPr>
        <w:jc w:val="center"/>
        <w:rPr>
          <w:sz w:val="40"/>
          <w:szCs w:val="40"/>
          <w:lang w:val="en-GB"/>
        </w:rPr>
      </w:pPr>
      <w:r w:rsidRPr="00153D61">
        <w:rPr>
          <w:sz w:val="40"/>
          <w:szCs w:val="40"/>
          <w:lang w:val="en-GB"/>
        </w:rPr>
        <w:t xml:space="preserve">23 </w:t>
      </w:r>
      <w:r w:rsidR="005B3F63">
        <w:rPr>
          <w:sz w:val="40"/>
          <w:szCs w:val="40"/>
          <w:lang w:val="en-GB"/>
        </w:rPr>
        <w:t xml:space="preserve">December </w:t>
      </w:r>
      <w:r w:rsidRPr="00153D61">
        <w:rPr>
          <w:sz w:val="40"/>
          <w:szCs w:val="40"/>
          <w:lang w:val="en-GB"/>
        </w:rPr>
        <w:t>2020</w:t>
      </w:r>
    </w:p>
    <w:p w14:paraId="5FC72C93" w14:textId="7705EA50" w:rsidR="00B4036C" w:rsidRPr="00153D61" w:rsidRDefault="00B4036C" w:rsidP="00B4036C">
      <w:pPr>
        <w:jc w:val="both"/>
        <w:rPr>
          <w:sz w:val="28"/>
          <w:szCs w:val="28"/>
          <w:lang w:val="en-GB"/>
        </w:rPr>
      </w:pPr>
    </w:p>
    <w:p w14:paraId="38FAFE97" w14:textId="1005C6B1" w:rsidR="00B4036C" w:rsidRPr="00153D61" w:rsidRDefault="00B4036C" w:rsidP="00B4036C">
      <w:pPr>
        <w:jc w:val="both"/>
        <w:rPr>
          <w:sz w:val="28"/>
          <w:szCs w:val="28"/>
          <w:lang w:val="en-GB"/>
        </w:rPr>
      </w:pPr>
    </w:p>
    <w:p w14:paraId="48A433FD" w14:textId="5E6B59E2" w:rsidR="00B4036C" w:rsidRPr="00153D61" w:rsidRDefault="00B4036C" w:rsidP="00B4036C">
      <w:pPr>
        <w:jc w:val="both"/>
        <w:rPr>
          <w:sz w:val="28"/>
          <w:szCs w:val="28"/>
          <w:lang w:val="en-GB"/>
        </w:rPr>
      </w:pPr>
      <w:bookmarkStart w:id="0" w:name="_GoBack"/>
      <w:bookmarkEnd w:id="0"/>
    </w:p>
    <w:p w14:paraId="57641F4C" w14:textId="3F64F8D7" w:rsidR="00B4036C" w:rsidRPr="00153D61" w:rsidRDefault="005B3F63" w:rsidP="00B4036C">
      <w:pPr>
        <w:jc w:val="both"/>
        <w:rPr>
          <w:sz w:val="28"/>
          <w:szCs w:val="28"/>
          <w:lang w:val="en-GB"/>
        </w:rPr>
      </w:pPr>
      <w:r>
        <w:rPr>
          <w:sz w:val="28"/>
          <w:szCs w:val="28"/>
          <w:lang w:val="en-GB"/>
        </w:rPr>
        <w:t xml:space="preserve">Following a careful reading of the report </w:t>
      </w:r>
      <w:r w:rsidR="00AE6A62">
        <w:rPr>
          <w:sz w:val="28"/>
          <w:szCs w:val="28"/>
          <w:lang w:val="en-GB"/>
        </w:rPr>
        <w:t xml:space="preserve">prepared by Catherine Dez and </w:t>
      </w:r>
      <w:r>
        <w:rPr>
          <w:sz w:val="28"/>
          <w:szCs w:val="28"/>
          <w:lang w:val="en-GB"/>
        </w:rPr>
        <w:t xml:space="preserve">presented by Jean-Pierre Eudier of LNPLV, I note a number of key </w:t>
      </w:r>
      <w:r w:rsidR="00AE6A62">
        <w:rPr>
          <w:sz w:val="28"/>
          <w:szCs w:val="28"/>
          <w:lang w:val="en-GB"/>
        </w:rPr>
        <w:t>debatable</w:t>
      </w:r>
      <w:r>
        <w:rPr>
          <w:sz w:val="28"/>
          <w:szCs w:val="28"/>
          <w:lang w:val="en-GB"/>
        </w:rPr>
        <w:t xml:space="preserve"> legal elements with respect to European treaties and, more generally, political ideology and the democratic transparency of the European project itself.</w:t>
      </w:r>
    </w:p>
    <w:p w14:paraId="3FE2820C" w14:textId="6FA3E9C9" w:rsidR="00C332C1" w:rsidRPr="00153D61" w:rsidRDefault="00C332C1" w:rsidP="00B4036C">
      <w:pPr>
        <w:jc w:val="both"/>
        <w:rPr>
          <w:sz w:val="28"/>
          <w:szCs w:val="28"/>
          <w:lang w:val="en-GB"/>
        </w:rPr>
      </w:pPr>
    </w:p>
    <w:p w14:paraId="7E4CC5A4" w14:textId="6726404C" w:rsidR="00C332C1" w:rsidRPr="00153D61" w:rsidRDefault="00C332C1" w:rsidP="007C7E30">
      <w:pPr>
        <w:pStyle w:val="Heading1"/>
        <w:rPr>
          <w:lang w:val="en-GB"/>
        </w:rPr>
      </w:pPr>
      <w:r w:rsidRPr="00153D61">
        <w:rPr>
          <w:lang w:val="en-GB"/>
        </w:rPr>
        <w:t xml:space="preserve">I </w:t>
      </w:r>
      <w:r w:rsidR="00731E19" w:rsidRPr="00153D61">
        <w:rPr>
          <w:lang w:val="en-GB"/>
        </w:rPr>
        <w:t>–</w:t>
      </w:r>
      <w:r w:rsidRPr="00153D61">
        <w:rPr>
          <w:lang w:val="en-GB"/>
        </w:rPr>
        <w:t xml:space="preserve"> </w:t>
      </w:r>
      <w:r w:rsidR="00475A37" w:rsidRPr="00153D61">
        <w:rPr>
          <w:lang w:val="en-GB"/>
        </w:rPr>
        <w:t>Introduction</w:t>
      </w:r>
      <w:r w:rsidR="00731E19" w:rsidRPr="00153D61">
        <w:rPr>
          <w:lang w:val="en-GB"/>
        </w:rPr>
        <w:t xml:space="preserve"> </w:t>
      </w:r>
      <w:r w:rsidR="005B3F63">
        <w:rPr>
          <w:lang w:val="en-GB"/>
        </w:rPr>
        <w:t xml:space="preserve">and background </w:t>
      </w:r>
    </w:p>
    <w:p w14:paraId="4DAAE134" w14:textId="77777777" w:rsidR="00475A37" w:rsidRPr="00153D61" w:rsidRDefault="00475A37" w:rsidP="00B4036C">
      <w:pPr>
        <w:jc w:val="both"/>
        <w:rPr>
          <w:sz w:val="28"/>
          <w:szCs w:val="28"/>
          <w:lang w:val="en-GB"/>
        </w:rPr>
      </w:pPr>
    </w:p>
    <w:p w14:paraId="2E7DEA86" w14:textId="2DE72E1B" w:rsidR="0056204A" w:rsidRPr="00153D61" w:rsidRDefault="005B3F63" w:rsidP="00B4036C">
      <w:pPr>
        <w:jc w:val="both"/>
        <w:rPr>
          <w:sz w:val="28"/>
          <w:szCs w:val="28"/>
          <w:lang w:val="en-GB"/>
        </w:rPr>
      </w:pPr>
      <w:r>
        <w:rPr>
          <w:sz w:val="28"/>
          <w:szCs w:val="28"/>
          <w:lang w:val="en-GB"/>
        </w:rPr>
        <w:t xml:space="preserve">In general terms, the Covid-19 related pandemic seems to be serving as a springboard for achieving the federalisation of European institutions. This European federalisation project is not new, but it is </w:t>
      </w:r>
      <w:r w:rsidR="00E52FB7">
        <w:rPr>
          <w:sz w:val="28"/>
          <w:szCs w:val="28"/>
          <w:lang w:val="en-GB"/>
        </w:rPr>
        <w:t>now showing</w:t>
      </w:r>
      <w:r>
        <w:rPr>
          <w:sz w:val="28"/>
          <w:szCs w:val="28"/>
          <w:lang w:val="en-GB"/>
        </w:rPr>
        <w:t xml:space="preserve"> a clear acceleration </w:t>
      </w:r>
      <w:r w:rsidR="00DA0F7D">
        <w:rPr>
          <w:sz w:val="28"/>
          <w:szCs w:val="28"/>
          <w:lang w:val="en-GB"/>
        </w:rPr>
        <w:t xml:space="preserve">both in </w:t>
      </w:r>
      <w:r>
        <w:rPr>
          <w:sz w:val="28"/>
          <w:szCs w:val="28"/>
          <w:lang w:val="en-GB"/>
        </w:rPr>
        <w:t xml:space="preserve">the </w:t>
      </w:r>
      <w:r w:rsidR="005A69F0">
        <w:rPr>
          <w:sz w:val="28"/>
          <w:szCs w:val="28"/>
          <w:lang w:val="en-GB"/>
        </w:rPr>
        <w:t xml:space="preserve">significantly enhanced </w:t>
      </w:r>
      <w:r>
        <w:rPr>
          <w:sz w:val="28"/>
          <w:szCs w:val="28"/>
          <w:lang w:val="en-GB"/>
        </w:rPr>
        <w:t>competence of the EU</w:t>
      </w:r>
      <w:r w:rsidR="005A69F0">
        <w:rPr>
          <w:sz w:val="28"/>
          <w:szCs w:val="28"/>
          <w:lang w:val="en-GB"/>
        </w:rPr>
        <w:t>’s various</w:t>
      </w:r>
      <w:r>
        <w:rPr>
          <w:sz w:val="28"/>
          <w:szCs w:val="28"/>
          <w:lang w:val="en-GB"/>
        </w:rPr>
        <w:t xml:space="preserve"> entities and </w:t>
      </w:r>
      <w:r w:rsidR="00DA0F7D">
        <w:rPr>
          <w:sz w:val="28"/>
          <w:szCs w:val="28"/>
          <w:lang w:val="en-GB"/>
        </w:rPr>
        <w:t xml:space="preserve">in that of </w:t>
      </w:r>
      <w:r w:rsidR="00B57A1D">
        <w:rPr>
          <w:sz w:val="28"/>
          <w:szCs w:val="28"/>
          <w:lang w:val="en-GB"/>
        </w:rPr>
        <w:t xml:space="preserve">its </w:t>
      </w:r>
      <w:r>
        <w:rPr>
          <w:sz w:val="28"/>
          <w:szCs w:val="28"/>
          <w:lang w:val="en-GB"/>
        </w:rPr>
        <w:t>financial</w:t>
      </w:r>
      <w:r w:rsidR="00B57A1D">
        <w:rPr>
          <w:sz w:val="28"/>
          <w:szCs w:val="28"/>
          <w:lang w:val="en-GB"/>
        </w:rPr>
        <w:t xml:space="preserve"> institutions</w:t>
      </w:r>
      <w:r>
        <w:rPr>
          <w:sz w:val="28"/>
          <w:szCs w:val="28"/>
          <w:lang w:val="en-GB"/>
        </w:rPr>
        <w:t xml:space="preserve">. These financial </w:t>
      </w:r>
      <w:r w:rsidR="002E39C0">
        <w:rPr>
          <w:sz w:val="28"/>
          <w:szCs w:val="28"/>
          <w:lang w:val="en-GB"/>
        </w:rPr>
        <w:t>institutions</w:t>
      </w:r>
      <w:r>
        <w:rPr>
          <w:sz w:val="28"/>
          <w:szCs w:val="28"/>
          <w:lang w:val="en-GB"/>
        </w:rPr>
        <w:t xml:space="preserve"> have not only increased in number and in financial capacity, but are now integrated into the globalist project by </w:t>
      </w:r>
      <w:r w:rsidR="00B965AB">
        <w:rPr>
          <w:sz w:val="28"/>
          <w:szCs w:val="28"/>
          <w:lang w:val="en-GB"/>
        </w:rPr>
        <w:t>providing resources</w:t>
      </w:r>
      <w:r>
        <w:rPr>
          <w:sz w:val="28"/>
          <w:szCs w:val="28"/>
          <w:lang w:val="en-GB"/>
        </w:rPr>
        <w:t xml:space="preserve"> with no real limits</w:t>
      </w:r>
      <w:r w:rsidR="00B965AB">
        <w:rPr>
          <w:sz w:val="28"/>
          <w:szCs w:val="28"/>
          <w:lang w:val="en-GB"/>
        </w:rPr>
        <w:t xml:space="preserve"> to</w:t>
      </w:r>
      <w:r>
        <w:rPr>
          <w:sz w:val="28"/>
          <w:szCs w:val="28"/>
          <w:lang w:val="en-GB"/>
        </w:rPr>
        <w:t xml:space="preserve"> UN-related international bodies. </w:t>
      </w:r>
    </w:p>
    <w:p w14:paraId="2797E9DB" w14:textId="4F980056" w:rsidR="00731E19" w:rsidRPr="00F607C9" w:rsidRDefault="005B3F63" w:rsidP="00B4036C">
      <w:pPr>
        <w:jc w:val="both"/>
        <w:rPr>
          <w:sz w:val="28"/>
          <w:szCs w:val="28"/>
          <w:lang w:val="en-GB"/>
        </w:rPr>
      </w:pPr>
      <w:r>
        <w:rPr>
          <w:sz w:val="28"/>
          <w:szCs w:val="28"/>
          <w:lang w:val="en-GB"/>
        </w:rPr>
        <w:t xml:space="preserve">From </w:t>
      </w:r>
      <w:r w:rsidR="00B965AB">
        <w:rPr>
          <w:sz w:val="28"/>
          <w:szCs w:val="28"/>
          <w:lang w:val="en-GB"/>
        </w:rPr>
        <w:t>the</w:t>
      </w:r>
      <w:r>
        <w:rPr>
          <w:sz w:val="28"/>
          <w:szCs w:val="28"/>
          <w:lang w:val="en-GB"/>
        </w:rPr>
        <w:t xml:space="preserve"> financial point of view, the European project is showing itself increasingly for what it really is: </w:t>
      </w:r>
      <w:r w:rsidR="00B965AB">
        <w:rPr>
          <w:sz w:val="28"/>
          <w:szCs w:val="28"/>
          <w:lang w:val="en-GB"/>
        </w:rPr>
        <w:t xml:space="preserve">providing access </w:t>
      </w:r>
      <w:r w:rsidR="0053069C">
        <w:rPr>
          <w:sz w:val="28"/>
          <w:szCs w:val="28"/>
          <w:lang w:val="en-GB"/>
        </w:rPr>
        <w:t xml:space="preserve">as it pleases </w:t>
      </w:r>
      <w:r w:rsidR="00B965AB">
        <w:rPr>
          <w:sz w:val="28"/>
          <w:szCs w:val="28"/>
          <w:lang w:val="en-GB"/>
        </w:rPr>
        <w:t xml:space="preserve">to the financial capacity of European taxpayers </w:t>
      </w:r>
      <w:r w:rsidR="00F607C9">
        <w:rPr>
          <w:sz w:val="28"/>
          <w:szCs w:val="28"/>
          <w:lang w:val="en-GB"/>
        </w:rPr>
        <w:t xml:space="preserve">in terms of both volume and duration of financial </w:t>
      </w:r>
      <w:r w:rsidR="00B965AB">
        <w:rPr>
          <w:sz w:val="28"/>
          <w:szCs w:val="28"/>
          <w:lang w:val="en-GB"/>
        </w:rPr>
        <w:t>resources</w:t>
      </w:r>
      <w:r w:rsidR="00F607C9">
        <w:rPr>
          <w:sz w:val="28"/>
          <w:szCs w:val="28"/>
          <w:lang w:val="en-GB"/>
        </w:rPr>
        <w:t xml:space="preserve">, without any control by those taxpayers either of the amounts allocated or of the </w:t>
      </w:r>
      <w:r w:rsidR="000670E0">
        <w:rPr>
          <w:sz w:val="28"/>
          <w:szCs w:val="28"/>
          <w:lang w:val="en-GB"/>
        </w:rPr>
        <w:t>actual</w:t>
      </w:r>
      <w:r w:rsidR="00F607C9">
        <w:rPr>
          <w:sz w:val="28"/>
          <w:szCs w:val="28"/>
          <w:lang w:val="en-GB"/>
        </w:rPr>
        <w:t xml:space="preserve"> beneficiaries of these massive transfers of wealth. </w:t>
      </w:r>
      <w:r w:rsidR="00434451">
        <w:rPr>
          <w:sz w:val="28"/>
          <w:szCs w:val="28"/>
          <w:lang w:val="en-GB"/>
        </w:rPr>
        <w:t xml:space="preserve">As a result the various financial entities of the European Union, which act as intermediaries between taxpayers and creditors, </w:t>
      </w:r>
      <w:r w:rsidR="006D7F4D">
        <w:rPr>
          <w:sz w:val="28"/>
          <w:szCs w:val="28"/>
          <w:lang w:val="en-GB"/>
        </w:rPr>
        <w:t xml:space="preserve">together </w:t>
      </w:r>
      <w:r w:rsidR="00434451">
        <w:rPr>
          <w:sz w:val="28"/>
          <w:szCs w:val="28"/>
          <w:lang w:val="en-GB"/>
        </w:rPr>
        <w:t xml:space="preserve">with the Commission and the two Councils, have discretionary power to allocate financial resources ultimately raised from taxpayers. At the same time, those </w:t>
      </w:r>
      <w:r w:rsidR="00434451">
        <w:rPr>
          <w:sz w:val="28"/>
          <w:szCs w:val="28"/>
          <w:lang w:val="en-GB"/>
        </w:rPr>
        <w:lastRenderedPageBreak/>
        <w:t>taxpayers have no power of control or direction</w:t>
      </w:r>
      <w:r w:rsidR="00081ADA">
        <w:rPr>
          <w:sz w:val="28"/>
          <w:szCs w:val="28"/>
          <w:lang w:val="en-GB"/>
        </w:rPr>
        <w:t xml:space="preserve"> over</w:t>
      </w:r>
      <w:r w:rsidR="00434451">
        <w:rPr>
          <w:sz w:val="28"/>
          <w:szCs w:val="28"/>
          <w:lang w:val="en-GB"/>
        </w:rPr>
        <w:t xml:space="preserve">, or indeed any simple means of acting </w:t>
      </w:r>
      <w:r w:rsidR="00081ADA">
        <w:rPr>
          <w:sz w:val="28"/>
          <w:szCs w:val="28"/>
          <w:lang w:val="en-GB"/>
        </w:rPr>
        <w:t xml:space="preserve">in relation to, </w:t>
      </w:r>
      <w:r w:rsidR="00434451">
        <w:rPr>
          <w:sz w:val="28"/>
          <w:szCs w:val="28"/>
          <w:lang w:val="en-GB"/>
        </w:rPr>
        <w:t xml:space="preserve">the </w:t>
      </w:r>
      <w:r w:rsidR="00D87760">
        <w:rPr>
          <w:sz w:val="28"/>
          <w:szCs w:val="28"/>
          <w:lang w:val="en-GB"/>
        </w:rPr>
        <w:t>European Union’s</w:t>
      </w:r>
      <w:r w:rsidR="00D87760" w:rsidRPr="009B39FC">
        <w:rPr>
          <w:sz w:val="28"/>
          <w:szCs w:val="28"/>
          <w:lang w:val="en-GB"/>
        </w:rPr>
        <w:t xml:space="preserve"> </w:t>
      </w:r>
      <w:r w:rsidR="00434451">
        <w:rPr>
          <w:sz w:val="28"/>
          <w:szCs w:val="28"/>
          <w:lang w:val="en-GB"/>
        </w:rPr>
        <w:t xml:space="preserve">financial entities </w:t>
      </w:r>
      <w:r w:rsidR="009B39FC">
        <w:rPr>
          <w:sz w:val="28"/>
          <w:szCs w:val="28"/>
          <w:lang w:val="en-GB"/>
        </w:rPr>
        <w:t>in return for this discretionary power to allocate their resources</w:t>
      </w:r>
      <w:r w:rsidR="00434451">
        <w:rPr>
          <w:sz w:val="28"/>
          <w:szCs w:val="28"/>
          <w:lang w:val="en-GB"/>
        </w:rPr>
        <w:t>.</w:t>
      </w:r>
    </w:p>
    <w:p w14:paraId="19A570BD" w14:textId="4807FA9B" w:rsidR="006E0B0F" w:rsidRPr="00153D61" w:rsidRDefault="0022783F" w:rsidP="00B4036C">
      <w:pPr>
        <w:jc w:val="both"/>
        <w:rPr>
          <w:sz w:val="28"/>
          <w:szCs w:val="28"/>
          <w:lang w:val="en-GB"/>
        </w:rPr>
      </w:pPr>
      <w:r>
        <w:rPr>
          <w:sz w:val="28"/>
          <w:szCs w:val="28"/>
          <w:lang w:val="en-GB"/>
        </w:rPr>
        <w:t xml:space="preserve">Since the devil is often in the detail, it should also be pointed out that the relevant taxpayers are mainly those in countries which are large net contributors to the EU, namely Germany, France and Italy. </w:t>
      </w:r>
      <w:r w:rsidR="007970A7">
        <w:rPr>
          <w:sz w:val="28"/>
          <w:szCs w:val="28"/>
          <w:lang w:val="en-GB"/>
        </w:rPr>
        <w:t xml:space="preserve">On this point, </w:t>
      </w:r>
      <w:r w:rsidR="00890E02">
        <w:rPr>
          <w:sz w:val="28"/>
          <w:szCs w:val="28"/>
          <w:lang w:val="en-GB"/>
        </w:rPr>
        <w:t xml:space="preserve">for the </w:t>
      </w:r>
      <w:r w:rsidR="00BF74B7">
        <w:rPr>
          <w:sz w:val="28"/>
          <w:szCs w:val="28"/>
          <w:lang w:val="en-GB"/>
        </w:rPr>
        <w:t>purpose</w:t>
      </w:r>
      <w:r w:rsidR="00890E02">
        <w:rPr>
          <w:sz w:val="28"/>
          <w:szCs w:val="28"/>
          <w:lang w:val="en-GB"/>
        </w:rPr>
        <w:t xml:space="preserve"> of</w:t>
      </w:r>
      <w:r w:rsidR="00414239">
        <w:rPr>
          <w:sz w:val="28"/>
          <w:szCs w:val="28"/>
          <w:lang w:val="en-GB"/>
        </w:rPr>
        <w:t xml:space="preserve"> paint</w:t>
      </w:r>
      <w:r w:rsidR="00890E02">
        <w:rPr>
          <w:sz w:val="28"/>
          <w:szCs w:val="28"/>
          <w:lang w:val="en-GB"/>
        </w:rPr>
        <w:t>ing</w:t>
      </w:r>
      <w:r w:rsidR="00414239">
        <w:rPr>
          <w:sz w:val="28"/>
          <w:szCs w:val="28"/>
          <w:lang w:val="en-GB"/>
        </w:rPr>
        <w:t xml:space="preserve"> the</w:t>
      </w:r>
      <w:r w:rsidR="007970A7">
        <w:rPr>
          <w:sz w:val="28"/>
          <w:szCs w:val="28"/>
          <w:lang w:val="en-GB"/>
        </w:rPr>
        <w:t xml:space="preserve"> full picture</w:t>
      </w:r>
      <w:r w:rsidR="00414239">
        <w:rPr>
          <w:sz w:val="28"/>
          <w:szCs w:val="28"/>
          <w:lang w:val="en-GB"/>
        </w:rPr>
        <w:t>,</w:t>
      </w:r>
      <w:r w:rsidR="007970A7">
        <w:rPr>
          <w:sz w:val="28"/>
          <w:szCs w:val="28"/>
          <w:lang w:val="en-GB"/>
        </w:rPr>
        <w:t xml:space="preserve"> it should be noted that the net contribution to the EU budget by German, French and Italian households is set to increase structurally by significant amounts over the coming years and decades due to </w:t>
      </w:r>
      <w:r w:rsidR="00414239">
        <w:rPr>
          <w:sz w:val="28"/>
          <w:szCs w:val="28"/>
          <w:lang w:val="en-GB"/>
        </w:rPr>
        <w:t xml:space="preserve">the United Kingdom’s </w:t>
      </w:r>
      <w:r w:rsidR="007970A7">
        <w:rPr>
          <w:sz w:val="28"/>
          <w:szCs w:val="28"/>
          <w:lang w:val="en-GB"/>
        </w:rPr>
        <w:t>exit from the European project</w:t>
      </w:r>
      <w:r w:rsidR="00414239">
        <w:rPr>
          <w:sz w:val="28"/>
          <w:szCs w:val="28"/>
          <w:lang w:val="en-GB"/>
        </w:rPr>
        <w:t>, as currently in progress</w:t>
      </w:r>
      <w:r w:rsidR="007970A7">
        <w:rPr>
          <w:sz w:val="28"/>
          <w:szCs w:val="28"/>
          <w:lang w:val="en-GB"/>
        </w:rPr>
        <w:t>.</w:t>
      </w:r>
    </w:p>
    <w:p w14:paraId="25F41586" w14:textId="4810459C" w:rsidR="00DF2AAA" w:rsidRPr="00153D61" w:rsidRDefault="007970A7" w:rsidP="00B4036C">
      <w:pPr>
        <w:jc w:val="both"/>
        <w:rPr>
          <w:sz w:val="28"/>
          <w:szCs w:val="28"/>
          <w:lang w:val="en-GB"/>
        </w:rPr>
      </w:pPr>
      <w:r>
        <w:rPr>
          <w:sz w:val="28"/>
          <w:szCs w:val="28"/>
          <w:lang w:val="en-GB"/>
        </w:rPr>
        <w:t xml:space="preserve">Note also that repayment of borrowings is not included in this net contribution to the EU budget, </w:t>
      </w:r>
      <w:r w:rsidR="00EE577B">
        <w:rPr>
          <w:sz w:val="28"/>
          <w:szCs w:val="28"/>
          <w:lang w:val="en-GB"/>
        </w:rPr>
        <w:t>since it</w:t>
      </w:r>
      <w:r>
        <w:rPr>
          <w:sz w:val="28"/>
          <w:szCs w:val="28"/>
          <w:lang w:val="en-GB"/>
        </w:rPr>
        <w:t xml:space="preserve"> only relates to the </w:t>
      </w:r>
      <w:r w:rsidR="00751748">
        <w:rPr>
          <w:sz w:val="28"/>
          <w:szCs w:val="28"/>
          <w:lang w:val="en-GB"/>
        </w:rPr>
        <w:t>s</w:t>
      </w:r>
      <w:r>
        <w:rPr>
          <w:sz w:val="28"/>
          <w:szCs w:val="28"/>
          <w:lang w:val="en-GB"/>
        </w:rPr>
        <w:t xml:space="preserve">tates’ official </w:t>
      </w:r>
      <w:r w:rsidR="00424001">
        <w:rPr>
          <w:sz w:val="28"/>
          <w:szCs w:val="28"/>
          <w:lang w:val="en-GB"/>
        </w:rPr>
        <w:t xml:space="preserve">budget </w:t>
      </w:r>
      <w:r>
        <w:rPr>
          <w:sz w:val="28"/>
          <w:szCs w:val="28"/>
          <w:lang w:val="en-GB"/>
        </w:rPr>
        <w:t xml:space="preserve">contribution. To the already substantial </w:t>
      </w:r>
      <w:r w:rsidR="00336514">
        <w:rPr>
          <w:sz w:val="28"/>
          <w:szCs w:val="28"/>
          <w:lang w:val="en-GB"/>
        </w:rPr>
        <w:t>burden</w:t>
      </w:r>
      <w:r>
        <w:rPr>
          <w:sz w:val="28"/>
          <w:szCs w:val="28"/>
          <w:lang w:val="en-GB"/>
        </w:rPr>
        <w:t xml:space="preserve"> of</w:t>
      </w:r>
      <w:r w:rsidR="00336514">
        <w:rPr>
          <w:sz w:val="28"/>
          <w:szCs w:val="28"/>
          <w:lang w:val="en-GB"/>
        </w:rPr>
        <w:t xml:space="preserve"> contributing</w:t>
      </w:r>
      <w:r>
        <w:rPr>
          <w:sz w:val="28"/>
          <w:szCs w:val="28"/>
          <w:lang w:val="en-GB"/>
        </w:rPr>
        <w:t xml:space="preserve"> to the EU budget should therefore be added </w:t>
      </w:r>
      <w:r w:rsidR="00336514">
        <w:rPr>
          <w:sz w:val="28"/>
          <w:szCs w:val="28"/>
          <w:lang w:val="en-GB"/>
        </w:rPr>
        <w:t xml:space="preserve">the </w:t>
      </w:r>
      <w:r>
        <w:rPr>
          <w:sz w:val="28"/>
          <w:szCs w:val="28"/>
          <w:lang w:val="en-GB"/>
        </w:rPr>
        <w:t xml:space="preserve">repayment of loans taken out by the </w:t>
      </w:r>
      <w:r w:rsidR="00336514">
        <w:rPr>
          <w:sz w:val="28"/>
          <w:szCs w:val="28"/>
          <w:lang w:val="en-GB"/>
        </w:rPr>
        <w:t xml:space="preserve">European Union’s </w:t>
      </w:r>
      <w:r>
        <w:rPr>
          <w:sz w:val="28"/>
          <w:szCs w:val="28"/>
          <w:lang w:val="en-GB"/>
        </w:rPr>
        <w:t xml:space="preserve">various financial bodies. This new financial </w:t>
      </w:r>
      <w:r w:rsidR="00287A8F">
        <w:rPr>
          <w:sz w:val="28"/>
          <w:szCs w:val="28"/>
          <w:lang w:val="en-GB"/>
        </w:rPr>
        <w:t>cost</w:t>
      </w:r>
      <w:r>
        <w:rPr>
          <w:sz w:val="28"/>
          <w:szCs w:val="28"/>
          <w:lang w:val="en-GB"/>
        </w:rPr>
        <w:t xml:space="preserve"> will therefore be borne generally by European taxpayers, but more specifically by taxpayers in those countries which are the main contributors to the various financial organisations</w:t>
      </w:r>
      <w:r w:rsidR="00B63F2A">
        <w:rPr>
          <w:sz w:val="28"/>
          <w:szCs w:val="28"/>
          <w:lang w:val="en-GB"/>
        </w:rPr>
        <w:t>,</w:t>
      </w:r>
      <w:r>
        <w:rPr>
          <w:sz w:val="28"/>
          <w:szCs w:val="28"/>
          <w:lang w:val="en-GB"/>
        </w:rPr>
        <w:t xml:space="preserve"> such as the </w:t>
      </w:r>
      <w:r w:rsidR="00EC5A0A">
        <w:rPr>
          <w:sz w:val="28"/>
          <w:szCs w:val="28"/>
          <w:lang w:val="en-GB"/>
        </w:rPr>
        <w:t>ES</w:t>
      </w:r>
      <w:r w:rsidR="00B63F2A">
        <w:rPr>
          <w:sz w:val="28"/>
          <w:szCs w:val="28"/>
          <w:lang w:val="en-GB"/>
        </w:rPr>
        <w:t>M</w:t>
      </w:r>
      <w:r w:rsidR="00EC5A0A">
        <w:rPr>
          <w:sz w:val="28"/>
          <w:szCs w:val="28"/>
          <w:lang w:val="en-GB"/>
        </w:rPr>
        <w:t xml:space="preserve"> (European Stability Mechanism)</w:t>
      </w:r>
      <w:r w:rsidR="00B63F2A">
        <w:rPr>
          <w:sz w:val="28"/>
          <w:szCs w:val="28"/>
          <w:lang w:val="en-GB"/>
        </w:rPr>
        <w:t>, which act as intermediaries between taxpayers and creditors.</w:t>
      </w:r>
    </w:p>
    <w:p w14:paraId="62B85898" w14:textId="122E5875" w:rsidR="00906CE0" w:rsidRPr="00153D61" w:rsidRDefault="00B63F2A" w:rsidP="00B4036C">
      <w:pPr>
        <w:jc w:val="both"/>
        <w:rPr>
          <w:sz w:val="28"/>
          <w:szCs w:val="28"/>
          <w:lang w:val="en-GB"/>
        </w:rPr>
      </w:pPr>
      <w:r>
        <w:rPr>
          <w:sz w:val="28"/>
          <w:szCs w:val="28"/>
          <w:lang w:val="en-GB"/>
        </w:rPr>
        <w:t xml:space="preserve">Against this background, and following the precedent of the ESM, which has forced its way into the European institutional and legal framework, the European </w:t>
      </w:r>
      <w:r w:rsidR="00D64BE4">
        <w:rPr>
          <w:sz w:val="28"/>
          <w:szCs w:val="28"/>
          <w:lang w:val="en-GB"/>
        </w:rPr>
        <w:t xml:space="preserve">recovery </w:t>
      </w:r>
      <w:r w:rsidR="003B2AC0">
        <w:rPr>
          <w:sz w:val="28"/>
          <w:szCs w:val="28"/>
          <w:lang w:val="en-GB"/>
        </w:rPr>
        <w:t xml:space="preserve">plan </w:t>
      </w:r>
      <w:r>
        <w:rPr>
          <w:sz w:val="28"/>
          <w:szCs w:val="28"/>
          <w:lang w:val="en-GB"/>
        </w:rPr>
        <w:t xml:space="preserve">made necessary by the pandemic can be seen as </w:t>
      </w:r>
      <w:r w:rsidR="00346F1E">
        <w:rPr>
          <w:sz w:val="28"/>
          <w:szCs w:val="28"/>
          <w:lang w:val="en-GB"/>
        </w:rPr>
        <w:t>creating</w:t>
      </w:r>
      <w:r>
        <w:rPr>
          <w:sz w:val="28"/>
          <w:szCs w:val="28"/>
          <w:lang w:val="en-GB"/>
        </w:rPr>
        <w:t xml:space="preserve"> a new source of </w:t>
      </w:r>
      <w:r w:rsidR="00346F1E">
        <w:rPr>
          <w:sz w:val="28"/>
          <w:szCs w:val="28"/>
          <w:lang w:val="en-GB"/>
        </w:rPr>
        <w:t xml:space="preserve">debt-based </w:t>
      </w:r>
      <w:r>
        <w:rPr>
          <w:sz w:val="28"/>
          <w:szCs w:val="28"/>
          <w:lang w:val="en-GB"/>
        </w:rPr>
        <w:t>European funding. To be clear, this consists of a massive transfer of both economic authority and the economic capacity of households and individuals in the EU’s m</w:t>
      </w:r>
      <w:r w:rsidR="00CF2B4B">
        <w:rPr>
          <w:sz w:val="28"/>
          <w:szCs w:val="28"/>
          <w:lang w:val="en-GB"/>
        </w:rPr>
        <w:t>ember s</w:t>
      </w:r>
      <w:r>
        <w:rPr>
          <w:sz w:val="28"/>
          <w:szCs w:val="28"/>
          <w:lang w:val="en-GB"/>
        </w:rPr>
        <w:t xml:space="preserve">tates to private creditor organisations (in passing, the institutions and individuals acting as intermediaries between these two major entities being duly paid for their services to varying degrees directly and officially). </w:t>
      </w:r>
      <w:r w:rsidR="00F21896">
        <w:rPr>
          <w:sz w:val="28"/>
          <w:szCs w:val="28"/>
          <w:lang w:val="en-GB"/>
        </w:rPr>
        <w:t xml:space="preserve">This transfer is </w:t>
      </w:r>
      <w:r w:rsidR="003E1033">
        <w:rPr>
          <w:sz w:val="28"/>
          <w:szCs w:val="28"/>
          <w:lang w:val="en-GB"/>
        </w:rPr>
        <w:t xml:space="preserve">being </w:t>
      </w:r>
      <w:r w:rsidR="00F21896">
        <w:rPr>
          <w:sz w:val="28"/>
          <w:szCs w:val="28"/>
          <w:lang w:val="en-GB"/>
        </w:rPr>
        <w:t xml:space="preserve">conducted on a discretionary basis </w:t>
      </w:r>
      <w:r w:rsidR="003E1033">
        <w:rPr>
          <w:sz w:val="28"/>
          <w:szCs w:val="28"/>
          <w:lang w:val="en-GB"/>
        </w:rPr>
        <w:t>via</w:t>
      </w:r>
      <w:r w:rsidR="00F21896">
        <w:rPr>
          <w:sz w:val="28"/>
          <w:szCs w:val="28"/>
          <w:lang w:val="en-GB"/>
        </w:rPr>
        <w:t xml:space="preserve"> the </w:t>
      </w:r>
      <w:r w:rsidR="003E1033">
        <w:rPr>
          <w:sz w:val="28"/>
          <w:szCs w:val="28"/>
          <w:lang w:val="en-GB"/>
        </w:rPr>
        <w:t xml:space="preserve">European Union’s </w:t>
      </w:r>
      <w:r w:rsidR="00F21896">
        <w:rPr>
          <w:sz w:val="28"/>
          <w:szCs w:val="28"/>
          <w:lang w:val="en-GB"/>
        </w:rPr>
        <w:t xml:space="preserve">multiple financial entities by allocating funds made available by the EU’s political bodies, led by the European Council and Commission. </w:t>
      </w:r>
    </w:p>
    <w:p w14:paraId="07622FAB" w14:textId="35066ECB" w:rsidR="00C705EE" w:rsidRPr="00153D61" w:rsidRDefault="00F21896" w:rsidP="00C705EE">
      <w:pPr>
        <w:jc w:val="both"/>
        <w:rPr>
          <w:sz w:val="28"/>
          <w:szCs w:val="28"/>
          <w:lang w:val="en-GB"/>
        </w:rPr>
      </w:pPr>
      <w:r>
        <w:rPr>
          <w:sz w:val="28"/>
          <w:szCs w:val="28"/>
          <w:lang w:val="en-GB"/>
        </w:rPr>
        <w:t>The so-called Covid-19 pandemic is also making possible a big step forward in financial terms in the federalist project through the creation of a European corporate tax. To be precise,</w:t>
      </w:r>
      <w:r w:rsidR="00790421">
        <w:rPr>
          <w:sz w:val="28"/>
          <w:szCs w:val="28"/>
          <w:lang w:val="en-GB"/>
        </w:rPr>
        <w:t xml:space="preserve"> implementation of the CCCTB (Common Consolidated Corporate Tax Base) project is targeted thanks to </w:t>
      </w:r>
      <w:r>
        <w:rPr>
          <w:sz w:val="28"/>
          <w:szCs w:val="28"/>
          <w:lang w:val="en-GB"/>
        </w:rPr>
        <w:t>Covid-19</w:t>
      </w:r>
      <w:r w:rsidR="00790421">
        <w:rPr>
          <w:sz w:val="28"/>
          <w:szCs w:val="28"/>
          <w:lang w:val="en-GB"/>
        </w:rPr>
        <w:t>.</w:t>
      </w:r>
      <w:r w:rsidR="00EB3D48">
        <w:rPr>
          <w:sz w:val="28"/>
          <w:szCs w:val="28"/>
          <w:lang w:val="en-GB"/>
        </w:rPr>
        <w:t xml:space="preserve"> </w:t>
      </w:r>
      <w:r w:rsidR="00790421">
        <w:rPr>
          <w:sz w:val="28"/>
          <w:szCs w:val="28"/>
          <w:lang w:val="en-GB"/>
        </w:rPr>
        <w:t xml:space="preserve">Since the 2000s, this </w:t>
      </w:r>
      <w:r w:rsidR="00EB3D48">
        <w:rPr>
          <w:sz w:val="28"/>
          <w:szCs w:val="28"/>
          <w:lang w:val="en-GB"/>
        </w:rPr>
        <w:t>has been prepared behind the scenes by European institutions in partnership with the Big Four legal and accounting firms (KPMG, PwC, EY and Deloitte Touche Tohmatsu)</w:t>
      </w:r>
      <w:r w:rsidR="00A21143">
        <w:rPr>
          <w:sz w:val="28"/>
          <w:szCs w:val="28"/>
          <w:lang w:val="en-GB"/>
        </w:rPr>
        <w:t xml:space="preserve">, </w:t>
      </w:r>
      <w:r w:rsidR="001A64D5">
        <w:rPr>
          <w:sz w:val="28"/>
          <w:szCs w:val="28"/>
          <w:lang w:val="en-GB"/>
        </w:rPr>
        <w:t>which operate internationally and represent the interests of multinational corporations, particularly in finance.</w:t>
      </w:r>
    </w:p>
    <w:p w14:paraId="17DF7480" w14:textId="79D8EEA7" w:rsidR="008C3A6F" w:rsidRPr="00153D61" w:rsidRDefault="001A64D5" w:rsidP="00B4036C">
      <w:pPr>
        <w:jc w:val="both"/>
        <w:rPr>
          <w:sz w:val="28"/>
          <w:szCs w:val="28"/>
          <w:lang w:val="en-GB"/>
        </w:rPr>
      </w:pPr>
      <w:r>
        <w:rPr>
          <w:sz w:val="28"/>
          <w:szCs w:val="28"/>
          <w:lang w:val="en-GB"/>
        </w:rPr>
        <w:t xml:space="preserve">This observation </w:t>
      </w:r>
      <w:r w:rsidR="00CE11FC">
        <w:rPr>
          <w:sz w:val="28"/>
          <w:szCs w:val="28"/>
          <w:lang w:val="en-GB"/>
        </w:rPr>
        <w:t>is</w:t>
      </w:r>
      <w:r>
        <w:rPr>
          <w:sz w:val="28"/>
          <w:szCs w:val="28"/>
          <w:lang w:val="en-GB"/>
        </w:rPr>
        <w:t xml:space="preserve"> already overwhelming on its own but</w:t>
      </w:r>
      <w:r w:rsidR="00F37CCE">
        <w:rPr>
          <w:sz w:val="28"/>
          <w:szCs w:val="28"/>
          <w:lang w:val="en-GB"/>
        </w:rPr>
        <w:t>,</w:t>
      </w:r>
      <w:r>
        <w:rPr>
          <w:sz w:val="28"/>
          <w:szCs w:val="28"/>
          <w:lang w:val="en-GB"/>
        </w:rPr>
        <w:t xml:space="preserve"> on top of that, a review of the draft European budget also shows that the EU’s financial entities are being put at the service of global bodies led by the UN and its</w:t>
      </w:r>
      <w:r w:rsidR="008D6F30">
        <w:rPr>
          <w:sz w:val="28"/>
          <w:szCs w:val="28"/>
          <w:lang w:val="en-GB"/>
        </w:rPr>
        <w:t xml:space="preserve"> array</w:t>
      </w:r>
      <w:r>
        <w:rPr>
          <w:sz w:val="28"/>
          <w:szCs w:val="28"/>
          <w:lang w:val="en-GB"/>
        </w:rPr>
        <w:t xml:space="preserve"> of agencies </w:t>
      </w:r>
      <w:r w:rsidR="008D6F30">
        <w:rPr>
          <w:sz w:val="28"/>
          <w:szCs w:val="28"/>
          <w:lang w:val="en-GB"/>
        </w:rPr>
        <w:t>specialising</w:t>
      </w:r>
      <w:r>
        <w:rPr>
          <w:sz w:val="28"/>
          <w:szCs w:val="28"/>
          <w:lang w:val="en-GB"/>
        </w:rPr>
        <w:t xml:space="preserve"> to a greater or lesser </w:t>
      </w:r>
      <w:r w:rsidR="00A56366">
        <w:rPr>
          <w:sz w:val="28"/>
          <w:szCs w:val="28"/>
          <w:lang w:val="en-GB"/>
        </w:rPr>
        <w:t xml:space="preserve">degree </w:t>
      </w:r>
      <w:r>
        <w:rPr>
          <w:sz w:val="28"/>
          <w:szCs w:val="28"/>
          <w:lang w:val="en-GB"/>
        </w:rPr>
        <w:t>in the fields of health</w:t>
      </w:r>
      <w:r w:rsidR="00BF41E7">
        <w:rPr>
          <w:sz w:val="28"/>
          <w:szCs w:val="28"/>
          <w:lang w:val="en-GB"/>
        </w:rPr>
        <w:t>care</w:t>
      </w:r>
      <w:r>
        <w:rPr>
          <w:sz w:val="28"/>
          <w:szCs w:val="28"/>
          <w:lang w:val="en-GB"/>
        </w:rPr>
        <w:t xml:space="preserve"> and culture. </w:t>
      </w:r>
    </w:p>
    <w:p w14:paraId="23CEC877" w14:textId="5929B7CE" w:rsidR="00957D68" w:rsidRPr="00153D61" w:rsidRDefault="00CB389A" w:rsidP="00B4036C">
      <w:pPr>
        <w:jc w:val="both"/>
        <w:rPr>
          <w:sz w:val="28"/>
          <w:szCs w:val="28"/>
          <w:lang w:val="en-GB"/>
        </w:rPr>
      </w:pPr>
      <w:r>
        <w:rPr>
          <w:sz w:val="28"/>
          <w:szCs w:val="28"/>
          <w:lang w:val="en-GB"/>
        </w:rPr>
        <w:t xml:space="preserve">In fact, under cover of a public-private partnership and with the active collaboration of European </w:t>
      </w:r>
      <w:r w:rsidR="000A7F6A">
        <w:rPr>
          <w:sz w:val="28"/>
          <w:szCs w:val="28"/>
          <w:lang w:val="en-GB"/>
        </w:rPr>
        <w:t>institutions</w:t>
      </w:r>
      <w:r>
        <w:rPr>
          <w:sz w:val="28"/>
          <w:szCs w:val="28"/>
          <w:lang w:val="en-GB"/>
        </w:rPr>
        <w:t xml:space="preserve"> and international organisations such as the WHO and UNESCO, financial resources from the European Union are being made available to the world. These European financial resources </w:t>
      </w:r>
      <w:r w:rsidR="00101544">
        <w:rPr>
          <w:sz w:val="28"/>
          <w:szCs w:val="28"/>
          <w:lang w:val="en-GB"/>
        </w:rPr>
        <w:t>come</w:t>
      </w:r>
      <w:r>
        <w:rPr>
          <w:sz w:val="28"/>
          <w:szCs w:val="28"/>
          <w:lang w:val="en-GB"/>
        </w:rPr>
        <w:t xml:space="preserve"> from public finances, meaning </w:t>
      </w:r>
      <w:r w:rsidR="00130D1B">
        <w:rPr>
          <w:sz w:val="28"/>
          <w:szCs w:val="28"/>
          <w:lang w:val="en-GB"/>
        </w:rPr>
        <w:t xml:space="preserve">the </w:t>
      </w:r>
      <w:r w:rsidR="00322A1E">
        <w:rPr>
          <w:sz w:val="28"/>
          <w:szCs w:val="28"/>
          <w:lang w:val="en-GB"/>
        </w:rPr>
        <w:t>finances</w:t>
      </w:r>
      <w:r w:rsidR="00130D1B">
        <w:rPr>
          <w:sz w:val="28"/>
          <w:szCs w:val="28"/>
          <w:lang w:val="en-GB"/>
        </w:rPr>
        <w:t xml:space="preserve"> </w:t>
      </w:r>
      <w:r>
        <w:rPr>
          <w:sz w:val="28"/>
          <w:szCs w:val="28"/>
          <w:lang w:val="en-GB"/>
        </w:rPr>
        <w:t xml:space="preserve">of </w:t>
      </w:r>
      <w:r w:rsidR="00101544">
        <w:rPr>
          <w:sz w:val="28"/>
          <w:szCs w:val="28"/>
          <w:lang w:val="en-GB"/>
        </w:rPr>
        <w:t xml:space="preserve">Europe’s people, </w:t>
      </w:r>
      <w:r>
        <w:rPr>
          <w:sz w:val="28"/>
          <w:szCs w:val="28"/>
          <w:lang w:val="en-GB"/>
        </w:rPr>
        <w:t xml:space="preserve">both directly through taxes and indirectly by repaying debts taken on by </w:t>
      </w:r>
      <w:r w:rsidR="00A21143">
        <w:rPr>
          <w:sz w:val="28"/>
          <w:szCs w:val="28"/>
          <w:lang w:val="en-GB"/>
        </w:rPr>
        <w:t>ground-breaking</w:t>
      </w:r>
      <w:r>
        <w:rPr>
          <w:sz w:val="28"/>
          <w:szCs w:val="28"/>
          <w:lang w:val="en-GB"/>
        </w:rPr>
        <w:t xml:space="preserve"> EU financial organisations. By contrast, </w:t>
      </w:r>
      <w:r w:rsidR="00317E5A">
        <w:rPr>
          <w:sz w:val="28"/>
          <w:szCs w:val="28"/>
          <w:lang w:val="en-GB"/>
        </w:rPr>
        <w:t xml:space="preserve">a complete absence of balance means that </w:t>
      </w:r>
      <w:r>
        <w:rPr>
          <w:sz w:val="28"/>
          <w:szCs w:val="28"/>
          <w:lang w:val="en-GB"/>
        </w:rPr>
        <w:t xml:space="preserve">European and international bodies making investment decisions will face no control over </w:t>
      </w:r>
      <w:r w:rsidR="00E63E84">
        <w:rPr>
          <w:sz w:val="28"/>
          <w:szCs w:val="28"/>
          <w:lang w:val="en-GB"/>
        </w:rPr>
        <w:t xml:space="preserve">those </w:t>
      </w:r>
      <w:r>
        <w:rPr>
          <w:sz w:val="28"/>
          <w:szCs w:val="28"/>
          <w:lang w:val="en-GB"/>
        </w:rPr>
        <w:t xml:space="preserve">investment </w:t>
      </w:r>
      <w:r w:rsidR="00E63E84">
        <w:rPr>
          <w:sz w:val="28"/>
          <w:szCs w:val="28"/>
          <w:lang w:val="en-GB"/>
        </w:rPr>
        <w:t xml:space="preserve">decisions </w:t>
      </w:r>
      <w:r>
        <w:rPr>
          <w:sz w:val="28"/>
          <w:szCs w:val="28"/>
          <w:lang w:val="en-GB"/>
        </w:rPr>
        <w:t xml:space="preserve">by the populations that will have to fund them. </w:t>
      </w:r>
    </w:p>
    <w:p w14:paraId="63E00CE8" w14:textId="15DC1355" w:rsidR="006305CD" w:rsidRPr="00153D61" w:rsidRDefault="00CB389A" w:rsidP="00B4036C">
      <w:pPr>
        <w:jc w:val="both"/>
        <w:rPr>
          <w:sz w:val="28"/>
          <w:szCs w:val="28"/>
          <w:lang w:val="en-GB"/>
        </w:rPr>
      </w:pPr>
      <w:r>
        <w:rPr>
          <w:sz w:val="28"/>
          <w:szCs w:val="28"/>
          <w:lang w:val="en-GB"/>
        </w:rPr>
        <w:t>Finally, another major step towards European federalism made possible by the 202</w:t>
      </w:r>
      <w:r w:rsidR="00792078">
        <w:rPr>
          <w:sz w:val="28"/>
          <w:szCs w:val="28"/>
          <w:lang w:val="en-GB"/>
        </w:rPr>
        <w:t>0</w:t>
      </w:r>
      <w:r>
        <w:rPr>
          <w:sz w:val="28"/>
          <w:szCs w:val="28"/>
          <w:lang w:val="en-GB"/>
        </w:rPr>
        <w:t xml:space="preserve"> pandemic should not be allowed to pass in silence. This consists of an increase in the </w:t>
      </w:r>
      <w:r w:rsidR="00E66192">
        <w:rPr>
          <w:sz w:val="28"/>
          <w:szCs w:val="28"/>
          <w:lang w:val="en-GB"/>
        </w:rPr>
        <w:t>competences</w:t>
      </w:r>
      <w:r>
        <w:rPr>
          <w:sz w:val="28"/>
          <w:szCs w:val="28"/>
          <w:lang w:val="en-GB"/>
        </w:rPr>
        <w:t xml:space="preserve"> of:</w:t>
      </w:r>
    </w:p>
    <w:p w14:paraId="6DB7602A" w14:textId="0E50A720" w:rsidR="00B86FD1" w:rsidRPr="00153D61" w:rsidRDefault="00CB389A" w:rsidP="00CF025D">
      <w:pPr>
        <w:pStyle w:val="ListParagraph"/>
        <w:numPr>
          <w:ilvl w:val="0"/>
          <w:numId w:val="1"/>
        </w:numPr>
        <w:jc w:val="both"/>
        <w:rPr>
          <w:sz w:val="28"/>
          <w:szCs w:val="28"/>
          <w:lang w:val="en-GB"/>
        </w:rPr>
      </w:pPr>
      <w:r>
        <w:rPr>
          <w:sz w:val="28"/>
          <w:szCs w:val="28"/>
          <w:lang w:val="en-GB"/>
        </w:rPr>
        <w:t xml:space="preserve">The European Commission, </w:t>
      </w:r>
      <w:r w:rsidR="00F036AD">
        <w:rPr>
          <w:sz w:val="28"/>
          <w:szCs w:val="28"/>
          <w:lang w:val="en-GB"/>
        </w:rPr>
        <w:t>contra</w:t>
      </w:r>
      <w:r w:rsidR="003904E7">
        <w:rPr>
          <w:sz w:val="28"/>
          <w:szCs w:val="28"/>
          <w:lang w:val="en-GB"/>
        </w:rPr>
        <w:t>vening</w:t>
      </w:r>
      <w:r>
        <w:rPr>
          <w:sz w:val="28"/>
          <w:szCs w:val="28"/>
          <w:lang w:val="en-GB"/>
        </w:rPr>
        <w:t xml:space="preserve"> or at the limit of </w:t>
      </w:r>
      <w:r w:rsidR="00F036AD">
        <w:rPr>
          <w:sz w:val="28"/>
          <w:szCs w:val="28"/>
          <w:lang w:val="en-GB"/>
        </w:rPr>
        <w:t xml:space="preserve">its </w:t>
      </w:r>
      <w:r w:rsidR="00E66192">
        <w:rPr>
          <w:sz w:val="28"/>
          <w:szCs w:val="28"/>
          <w:lang w:val="en-GB"/>
        </w:rPr>
        <w:t>competences</w:t>
      </w:r>
      <w:r w:rsidR="00F036AD">
        <w:rPr>
          <w:sz w:val="28"/>
          <w:szCs w:val="28"/>
          <w:lang w:val="en-GB"/>
        </w:rPr>
        <w:t xml:space="preserve"> </w:t>
      </w:r>
      <w:r>
        <w:rPr>
          <w:sz w:val="28"/>
          <w:szCs w:val="28"/>
          <w:lang w:val="en-GB"/>
        </w:rPr>
        <w:t xml:space="preserve">under the Treaty </w:t>
      </w:r>
      <w:r w:rsidR="00CF025D" w:rsidRPr="00CF025D">
        <w:rPr>
          <w:sz w:val="28"/>
          <w:szCs w:val="28"/>
          <w:lang w:val="en-GB"/>
        </w:rPr>
        <w:t>on the Functioning of the European Union</w:t>
      </w:r>
      <w:r w:rsidR="0016320A">
        <w:rPr>
          <w:sz w:val="28"/>
          <w:szCs w:val="28"/>
          <w:lang w:val="en-GB"/>
        </w:rPr>
        <w:t xml:space="preserve"> (TFEU)</w:t>
      </w:r>
      <w:r w:rsidR="00CF025D">
        <w:rPr>
          <w:sz w:val="28"/>
          <w:szCs w:val="28"/>
          <w:lang w:val="en-GB"/>
        </w:rPr>
        <w:t>;</w:t>
      </w:r>
    </w:p>
    <w:p w14:paraId="123EA756" w14:textId="6C5F680B" w:rsidR="006305CD" w:rsidRPr="00153D61" w:rsidRDefault="00CF025D" w:rsidP="006305CD">
      <w:pPr>
        <w:pStyle w:val="ListParagraph"/>
        <w:numPr>
          <w:ilvl w:val="0"/>
          <w:numId w:val="1"/>
        </w:numPr>
        <w:jc w:val="both"/>
        <w:rPr>
          <w:sz w:val="28"/>
          <w:szCs w:val="28"/>
          <w:lang w:val="en-GB"/>
        </w:rPr>
      </w:pPr>
      <w:r>
        <w:rPr>
          <w:sz w:val="28"/>
          <w:szCs w:val="28"/>
          <w:lang w:val="en-GB"/>
        </w:rPr>
        <w:t xml:space="preserve">The European Council itself, possibly </w:t>
      </w:r>
      <w:r w:rsidR="00697EE8">
        <w:rPr>
          <w:sz w:val="28"/>
          <w:szCs w:val="28"/>
          <w:lang w:val="en-GB"/>
        </w:rPr>
        <w:t xml:space="preserve">contravening </w:t>
      </w:r>
      <w:r>
        <w:rPr>
          <w:sz w:val="28"/>
          <w:szCs w:val="28"/>
          <w:lang w:val="en-GB"/>
        </w:rPr>
        <w:t xml:space="preserve">the internal constitutional law of the various member states as well as, as above, </w:t>
      </w:r>
      <w:r w:rsidR="006943C3">
        <w:rPr>
          <w:sz w:val="28"/>
          <w:szCs w:val="28"/>
          <w:lang w:val="en-GB"/>
        </w:rPr>
        <w:t xml:space="preserve">contravening </w:t>
      </w:r>
      <w:r>
        <w:rPr>
          <w:sz w:val="28"/>
          <w:szCs w:val="28"/>
          <w:lang w:val="en-GB"/>
        </w:rPr>
        <w:t xml:space="preserve">its </w:t>
      </w:r>
      <w:r w:rsidR="00E66192">
        <w:rPr>
          <w:sz w:val="28"/>
          <w:szCs w:val="28"/>
          <w:lang w:val="en-GB"/>
        </w:rPr>
        <w:t>competences</w:t>
      </w:r>
      <w:r>
        <w:rPr>
          <w:sz w:val="28"/>
          <w:szCs w:val="28"/>
          <w:lang w:val="en-GB"/>
        </w:rPr>
        <w:t xml:space="preserve"> in the EU’s constituti</w:t>
      </w:r>
      <w:r w:rsidR="00CD793F">
        <w:rPr>
          <w:sz w:val="28"/>
          <w:szCs w:val="28"/>
          <w:lang w:val="en-GB"/>
        </w:rPr>
        <w:t>ve</w:t>
      </w:r>
      <w:r>
        <w:rPr>
          <w:sz w:val="28"/>
          <w:szCs w:val="28"/>
          <w:lang w:val="en-GB"/>
        </w:rPr>
        <w:t xml:space="preserve"> treaties. </w:t>
      </w:r>
    </w:p>
    <w:p w14:paraId="11AF3D4F" w14:textId="77777777" w:rsidR="003B25BF" w:rsidRPr="00153D61" w:rsidRDefault="003B25BF" w:rsidP="00B4036C">
      <w:pPr>
        <w:jc w:val="both"/>
        <w:rPr>
          <w:sz w:val="28"/>
          <w:szCs w:val="28"/>
          <w:lang w:val="en-GB"/>
        </w:rPr>
      </w:pPr>
    </w:p>
    <w:p w14:paraId="0C7919F3" w14:textId="202BE6E9" w:rsidR="00D57051" w:rsidRPr="00153D61" w:rsidRDefault="00C332C1" w:rsidP="007C7E30">
      <w:pPr>
        <w:pStyle w:val="Heading1"/>
        <w:rPr>
          <w:lang w:val="en-GB"/>
        </w:rPr>
      </w:pPr>
      <w:r w:rsidRPr="00153D61">
        <w:rPr>
          <w:lang w:val="en-GB"/>
        </w:rPr>
        <w:t xml:space="preserve">II </w:t>
      </w:r>
      <w:r w:rsidR="00D57051" w:rsidRPr="00153D61">
        <w:rPr>
          <w:lang w:val="en-GB"/>
        </w:rPr>
        <w:t>–</w:t>
      </w:r>
      <w:r w:rsidRPr="00153D61">
        <w:rPr>
          <w:lang w:val="en-GB"/>
        </w:rPr>
        <w:t xml:space="preserve"> </w:t>
      </w:r>
      <w:r w:rsidR="00BD6049">
        <w:rPr>
          <w:lang w:val="en-GB"/>
        </w:rPr>
        <w:t xml:space="preserve">Various legal and political problems </w:t>
      </w:r>
    </w:p>
    <w:p w14:paraId="24516D30" w14:textId="77777777" w:rsidR="00D57051" w:rsidRPr="00153D61" w:rsidRDefault="00D57051" w:rsidP="007C7E30">
      <w:pPr>
        <w:pStyle w:val="Heading1"/>
        <w:rPr>
          <w:sz w:val="28"/>
          <w:szCs w:val="28"/>
          <w:lang w:val="en-GB"/>
        </w:rPr>
      </w:pPr>
    </w:p>
    <w:p w14:paraId="5EBA39EB" w14:textId="3E67176D" w:rsidR="0046448D" w:rsidRPr="00153D61" w:rsidRDefault="001F2B4E" w:rsidP="00D57051">
      <w:pPr>
        <w:rPr>
          <w:sz w:val="28"/>
          <w:szCs w:val="28"/>
          <w:lang w:val="en-GB"/>
        </w:rPr>
      </w:pPr>
      <w:r>
        <w:rPr>
          <w:sz w:val="28"/>
          <w:szCs w:val="28"/>
          <w:lang w:val="en-GB"/>
        </w:rPr>
        <w:t xml:space="preserve">Various levels of legal, institutional and political problems arise both directly and indirectly from the </w:t>
      </w:r>
      <w:r w:rsidR="00AB191D">
        <w:rPr>
          <w:sz w:val="28"/>
          <w:szCs w:val="28"/>
          <w:lang w:val="en-GB"/>
        </w:rPr>
        <w:t xml:space="preserve">current </w:t>
      </w:r>
      <w:r>
        <w:rPr>
          <w:sz w:val="28"/>
          <w:szCs w:val="28"/>
          <w:lang w:val="en-GB"/>
        </w:rPr>
        <w:t xml:space="preserve">development of European institutions. </w:t>
      </w:r>
    </w:p>
    <w:p w14:paraId="38CB7F2F" w14:textId="77777777" w:rsidR="007C7E30" w:rsidRPr="00153D61" w:rsidRDefault="007C7E30" w:rsidP="00B4036C">
      <w:pPr>
        <w:jc w:val="both"/>
        <w:rPr>
          <w:sz w:val="28"/>
          <w:szCs w:val="28"/>
          <w:lang w:val="en-GB"/>
        </w:rPr>
      </w:pPr>
    </w:p>
    <w:p w14:paraId="0739622D" w14:textId="39A1B8F3" w:rsidR="00CE6C43" w:rsidRPr="00153D61" w:rsidRDefault="001F2B4E" w:rsidP="00CF1953">
      <w:pPr>
        <w:pStyle w:val="Heading2"/>
        <w:rPr>
          <w:lang w:val="en-GB"/>
        </w:rPr>
      </w:pPr>
      <w:r>
        <w:rPr>
          <w:lang w:val="en-GB"/>
        </w:rPr>
        <w:t xml:space="preserve">Problematic increase in </w:t>
      </w:r>
      <w:r w:rsidR="00E66192">
        <w:rPr>
          <w:lang w:val="en-GB"/>
        </w:rPr>
        <w:t>competences</w:t>
      </w:r>
      <w:r>
        <w:rPr>
          <w:lang w:val="en-GB"/>
        </w:rPr>
        <w:t xml:space="preserve"> of EU bodies</w:t>
      </w:r>
    </w:p>
    <w:p w14:paraId="3A513302" w14:textId="77777777" w:rsidR="003A1130" w:rsidRPr="00153D61" w:rsidRDefault="003A1130" w:rsidP="00B4036C">
      <w:pPr>
        <w:jc w:val="both"/>
        <w:rPr>
          <w:sz w:val="28"/>
          <w:szCs w:val="28"/>
          <w:lang w:val="en-GB"/>
        </w:rPr>
      </w:pPr>
    </w:p>
    <w:p w14:paraId="5AC092A6" w14:textId="307D3EC4" w:rsidR="008D5C19" w:rsidRPr="00153D61" w:rsidRDefault="001F2B4E" w:rsidP="00B4036C">
      <w:pPr>
        <w:jc w:val="both"/>
        <w:rPr>
          <w:sz w:val="28"/>
          <w:szCs w:val="28"/>
          <w:lang w:val="en-GB"/>
        </w:rPr>
      </w:pPr>
      <w:r>
        <w:rPr>
          <w:sz w:val="28"/>
          <w:szCs w:val="28"/>
          <w:lang w:val="en-GB"/>
        </w:rPr>
        <w:t>A first category of legal issues arises from how the development of the</w:t>
      </w:r>
      <w:r w:rsidR="00024566">
        <w:rPr>
          <w:sz w:val="28"/>
          <w:szCs w:val="28"/>
          <w:lang w:val="en-GB"/>
        </w:rPr>
        <w:t>se</w:t>
      </w:r>
      <w:r>
        <w:rPr>
          <w:sz w:val="28"/>
          <w:szCs w:val="28"/>
          <w:lang w:val="en-GB"/>
        </w:rPr>
        <w:t xml:space="preserve"> institutions </w:t>
      </w:r>
      <w:r w:rsidR="00D40627">
        <w:rPr>
          <w:sz w:val="28"/>
          <w:szCs w:val="28"/>
          <w:lang w:val="en-GB"/>
        </w:rPr>
        <w:t xml:space="preserve">complies </w:t>
      </w:r>
      <w:r>
        <w:rPr>
          <w:sz w:val="28"/>
          <w:szCs w:val="28"/>
          <w:lang w:val="en-GB"/>
        </w:rPr>
        <w:t>with the texts currently in force</w:t>
      </w:r>
      <w:r w:rsidR="00A21143">
        <w:rPr>
          <w:sz w:val="28"/>
          <w:szCs w:val="28"/>
          <w:lang w:val="en-GB"/>
        </w:rPr>
        <w:t>,</w:t>
      </w:r>
      <w:r>
        <w:rPr>
          <w:sz w:val="28"/>
          <w:szCs w:val="28"/>
          <w:lang w:val="en-GB"/>
        </w:rPr>
        <w:t xml:space="preserve"> which govern the European Union. </w:t>
      </w:r>
      <w:r w:rsidR="00690833">
        <w:rPr>
          <w:sz w:val="28"/>
          <w:szCs w:val="28"/>
          <w:lang w:val="en-GB"/>
        </w:rPr>
        <w:t xml:space="preserve">We include in this point the </w:t>
      </w:r>
      <w:r>
        <w:rPr>
          <w:sz w:val="28"/>
          <w:szCs w:val="28"/>
          <w:lang w:val="en-GB"/>
        </w:rPr>
        <w:t xml:space="preserve">problems relating to </w:t>
      </w:r>
      <w:r w:rsidR="00D40627">
        <w:rPr>
          <w:sz w:val="28"/>
          <w:szCs w:val="28"/>
          <w:lang w:val="en-GB"/>
        </w:rPr>
        <w:t xml:space="preserve">the </w:t>
      </w:r>
      <w:r>
        <w:rPr>
          <w:sz w:val="28"/>
          <w:szCs w:val="28"/>
          <w:lang w:val="en-GB"/>
        </w:rPr>
        <w:t>increase</w:t>
      </w:r>
      <w:r w:rsidR="00D40627">
        <w:rPr>
          <w:sz w:val="28"/>
          <w:szCs w:val="28"/>
          <w:lang w:val="en-GB"/>
        </w:rPr>
        <w:t>d</w:t>
      </w:r>
      <w:r>
        <w:rPr>
          <w:sz w:val="28"/>
          <w:szCs w:val="28"/>
          <w:lang w:val="en-GB"/>
        </w:rPr>
        <w:t xml:space="preserve"> </w:t>
      </w:r>
      <w:r w:rsidR="00E66192">
        <w:rPr>
          <w:sz w:val="28"/>
          <w:szCs w:val="28"/>
          <w:lang w:val="en-GB"/>
        </w:rPr>
        <w:t>competences</w:t>
      </w:r>
      <w:r>
        <w:rPr>
          <w:sz w:val="28"/>
          <w:szCs w:val="28"/>
          <w:lang w:val="en-GB"/>
        </w:rPr>
        <w:t xml:space="preserve"> of the institutions at the </w:t>
      </w:r>
      <w:r w:rsidR="00690833">
        <w:rPr>
          <w:sz w:val="28"/>
          <w:szCs w:val="28"/>
          <w:lang w:val="en-GB"/>
        </w:rPr>
        <w:t xml:space="preserve">apex </w:t>
      </w:r>
      <w:r>
        <w:rPr>
          <w:sz w:val="28"/>
          <w:szCs w:val="28"/>
          <w:lang w:val="en-GB"/>
        </w:rPr>
        <w:t xml:space="preserve">of the European hierarchy, namely the European Council and the European Commission, in matters which, under the constitutive treaties, do not fall under their exclusive jurisdiction. </w:t>
      </w:r>
    </w:p>
    <w:p w14:paraId="6D27B314" w14:textId="3DDEB585" w:rsidR="00D61BBD" w:rsidRPr="00153D61" w:rsidRDefault="003872E4" w:rsidP="00B4036C">
      <w:pPr>
        <w:jc w:val="both"/>
        <w:rPr>
          <w:sz w:val="28"/>
          <w:szCs w:val="28"/>
          <w:lang w:val="en-GB"/>
        </w:rPr>
      </w:pPr>
      <w:r>
        <w:rPr>
          <w:sz w:val="28"/>
          <w:szCs w:val="28"/>
          <w:lang w:val="en-GB"/>
        </w:rPr>
        <w:t xml:space="preserve">In my view, </w:t>
      </w:r>
      <w:r w:rsidR="00C97CE6">
        <w:rPr>
          <w:sz w:val="28"/>
          <w:szCs w:val="28"/>
          <w:lang w:val="en-GB"/>
        </w:rPr>
        <w:t xml:space="preserve">it is also worth checking that healthcare really </w:t>
      </w:r>
      <w:r w:rsidR="00690833">
        <w:rPr>
          <w:sz w:val="28"/>
          <w:szCs w:val="28"/>
          <w:lang w:val="en-GB"/>
        </w:rPr>
        <w:t xml:space="preserve">is </w:t>
      </w:r>
      <w:r w:rsidR="00C97CE6">
        <w:rPr>
          <w:sz w:val="28"/>
          <w:szCs w:val="28"/>
          <w:lang w:val="en-GB"/>
        </w:rPr>
        <w:t xml:space="preserve">a European Council </w:t>
      </w:r>
      <w:r w:rsidR="00690833">
        <w:rPr>
          <w:sz w:val="28"/>
          <w:szCs w:val="28"/>
          <w:lang w:val="en-GB"/>
        </w:rPr>
        <w:t xml:space="preserve">competence </w:t>
      </w:r>
      <w:r w:rsidR="00C97CE6">
        <w:rPr>
          <w:sz w:val="28"/>
          <w:szCs w:val="28"/>
          <w:lang w:val="en-GB"/>
        </w:rPr>
        <w:t>as laid out in Article 22 of the Treaty on European Union</w:t>
      </w:r>
      <w:r w:rsidR="00080DF1">
        <w:rPr>
          <w:sz w:val="28"/>
          <w:szCs w:val="28"/>
          <w:lang w:val="en-GB"/>
        </w:rPr>
        <w:t xml:space="preserve"> (TEU)</w:t>
      </w:r>
      <w:r w:rsidR="00C97CE6">
        <w:rPr>
          <w:sz w:val="28"/>
          <w:szCs w:val="28"/>
          <w:lang w:val="en-GB"/>
        </w:rPr>
        <w:t xml:space="preserve">, which </w:t>
      </w:r>
      <w:r w:rsidR="008B02DB">
        <w:rPr>
          <w:sz w:val="28"/>
          <w:szCs w:val="28"/>
          <w:lang w:val="en-GB"/>
        </w:rPr>
        <w:t>gives</w:t>
      </w:r>
      <w:r w:rsidR="00C97CE6">
        <w:rPr>
          <w:sz w:val="28"/>
          <w:szCs w:val="28"/>
          <w:lang w:val="en-GB"/>
        </w:rPr>
        <w:t xml:space="preserve"> the framework for </w:t>
      </w:r>
      <w:r w:rsidR="00803F7D">
        <w:rPr>
          <w:sz w:val="28"/>
          <w:szCs w:val="28"/>
          <w:lang w:val="en-GB"/>
        </w:rPr>
        <w:t xml:space="preserve">setting </w:t>
      </w:r>
      <w:r w:rsidR="00C97CE6">
        <w:rPr>
          <w:sz w:val="28"/>
          <w:szCs w:val="28"/>
          <w:lang w:val="en-GB"/>
        </w:rPr>
        <w:t xml:space="preserve">the European Union’s strategic objectives. </w:t>
      </w:r>
    </w:p>
    <w:p w14:paraId="22551089" w14:textId="346819A2" w:rsidR="00CE6C43" w:rsidRPr="00153D61" w:rsidRDefault="00CE6C43" w:rsidP="00B4036C">
      <w:pPr>
        <w:jc w:val="both"/>
        <w:rPr>
          <w:sz w:val="28"/>
          <w:szCs w:val="28"/>
          <w:lang w:val="en-GB"/>
        </w:rPr>
      </w:pPr>
    </w:p>
    <w:p w14:paraId="18AC28BB" w14:textId="2FDE2DE6" w:rsidR="00CE6C43" w:rsidRPr="00153D61" w:rsidRDefault="00992498" w:rsidP="00CF1953">
      <w:pPr>
        <w:pStyle w:val="Heading2"/>
        <w:rPr>
          <w:lang w:val="en-GB"/>
        </w:rPr>
      </w:pPr>
      <w:r>
        <w:rPr>
          <w:lang w:val="en-GB"/>
        </w:rPr>
        <w:t xml:space="preserve">Legal and political issues surrounding the problematic lack of </w:t>
      </w:r>
      <w:r w:rsidR="00824049">
        <w:rPr>
          <w:lang w:val="en-GB"/>
        </w:rPr>
        <w:t xml:space="preserve">taxpayer </w:t>
      </w:r>
      <w:r>
        <w:rPr>
          <w:lang w:val="en-GB"/>
        </w:rPr>
        <w:t xml:space="preserve">control over the allocation of resources in both quantitative and qualitative terms </w:t>
      </w:r>
    </w:p>
    <w:p w14:paraId="2A8E1584" w14:textId="77777777" w:rsidR="003A1130" w:rsidRPr="00153D61" w:rsidRDefault="003A1130" w:rsidP="00B4036C">
      <w:pPr>
        <w:jc w:val="both"/>
        <w:rPr>
          <w:sz w:val="28"/>
          <w:szCs w:val="28"/>
          <w:lang w:val="en-GB"/>
        </w:rPr>
      </w:pPr>
    </w:p>
    <w:p w14:paraId="0DDD6C60" w14:textId="15997B3E" w:rsidR="002C0280" w:rsidRPr="00153D61" w:rsidRDefault="00992498" w:rsidP="00B4036C">
      <w:pPr>
        <w:jc w:val="both"/>
        <w:rPr>
          <w:sz w:val="28"/>
          <w:szCs w:val="28"/>
          <w:lang w:val="en-GB"/>
        </w:rPr>
      </w:pPr>
      <w:r>
        <w:rPr>
          <w:sz w:val="28"/>
          <w:szCs w:val="28"/>
          <w:lang w:val="en-GB"/>
        </w:rPr>
        <w:t xml:space="preserve">A second category of issues relates to the question of finance: in particular, the lack of control </w:t>
      </w:r>
      <w:r w:rsidR="00510659">
        <w:rPr>
          <w:sz w:val="28"/>
          <w:szCs w:val="28"/>
          <w:lang w:val="en-GB"/>
        </w:rPr>
        <w:t xml:space="preserve">by taxpayers </w:t>
      </w:r>
      <w:r>
        <w:rPr>
          <w:sz w:val="28"/>
          <w:szCs w:val="28"/>
          <w:lang w:val="en-GB"/>
        </w:rPr>
        <w:t xml:space="preserve">over to whom and how their own financial resources are allocated, both in quantitative terms (the amount of funding available) and in qualitative terms (the use or uses </w:t>
      </w:r>
      <w:r w:rsidR="00742DD2">
        <w:rPr>
          <w:sz w:val="28"/>
          <w:szCs w:val="28"/>
          <w:lang w:val="en-GB"/>
        </w:rPr>
        <w:t xml:space="preserve">to which </w:t>
      </w:r>
      <w:r>
        <w:rPr>
          <w:sz w:val="28"/>
          <w:szCs w:val="28"/>
          <w:lang w:val="en-GB"/>
        </w:rPr>
        <w:t>the funding</w:t>
      </w:r>
      <w:r w:rsidR="00742DD2">
        <w:rPr>
          <w:sz w:val="28"/>
          <w:szCs w:val="28"/>
          <w:lang w:val="en-GB"/>
        </w:rPr>
        <w:t xml:space="preserve"> is put</w:t>
      </w:r>
      <w:r>
        <w:rPr>
          <w:sz w:val="28"/>
          <w:szCs w:val="28"/>
          <w:lang w:val="en-GB"/>
        </w:rPr>
        <w:t>).</w:t>
      </w:r>
    </w:p>
    <w:p w14:paraId="60A6478D" w14:textId="272FAAF4" w:rsidR="008C67C7" w:rsidRPr="00153D61" w:rsidRDefault="00742DD2" w:rsidP="00B4036C">
      <w:pPr>
        <w:jc w:val="both"/>
        <w:rPr>
          <w:sz w:val="28"/>
          <w:szCs w:val="28"/>
          <w:lang w:val="en-GB"/>
        </w:rPr>
      </w:pPr>
      <w:r>
        <w:rPr>
          <w:sz w:val="28"/>
          <w:szCs w:val="28"/>
          <w:lang w:val="en-GB"/>
        </w:rPr>
        <w:t xml:space="preserve">This issue is related to the previous one inasmuch as </w:t>
      </w:r>
      <w:r w:rsidR="00275F70">
        <w:rPr>
          <w:sz w:val="28"/>
          <w:szCs w:val="28"/>
          <w:lang w:val="en-GB"/>
        </w:rPr>
        <w:t xml:space="preserve">decisions </w:t>
      </w:r>
      <w:r w:rsidR="001A1EE9">
        <w:rPr>
          <w:sz w:val="28"/>
          <w:szCs w:val="28"/>
          <w:lang w:val="en-GB"/>
        </w:rPr>
        <w:t>have been</w:t>
      </w:r>
      <w:r w:rsidR="00275F70">
        <w:rPr>
          <w:sz w:val="28"/>
          <w:szCs w:val="28"/>
          <w:lang w:val="en-GB"/>
        </w:rPr>
        <w:t xml:space="preserve"> made about </w:t>
      </w:r>
      <w:r>
        <w:rPr>
          <w:sz w:val="28"/>
          <w:szCs w:val="28"/>
          <w:lang w:val="en-GB"/>
        </w:rPr>
        <w:t xml:space="preserve">the European recovery plan </w:t>
      </w:r>
      <w:r w:rsidR="00275F70">
        <w:rPr>
          <w:sz w:val="28"/>
          <w:szCs w:val="28"/>
          <w:lang w:val="en-GB"/>
        </w:rPr>
        <w:t>by the European Council – whose decisions, it should be borne in mind, must be unanimous</w:t>
      </w:r>
      <w:r w:rsidR="007A4EE4">
        <w:rPr>
          <w:sz w:val="28"/>
          <w:szCs w:val="28"/>
          <w:lang w:val="en-GB"/>
        </w:rPr>
        <w:t>.</w:t>
      </w:r>
      <w:r w:rsidR="00275F70">
        <w:rPr>
          <w:sz w:val="28"/>
          <w:szCs w:val="28"/>
          <w:lang w:val="en-GB"/>
        </w:rPr>
        <w:t xml:space="preserve"> </w:t>
      </w:r>
      <w:r w:rsidR="007A4EE4">
        <w:rPr>
          <w:sz w:val="28"/>
          <w:szCs w:val="28"/>
          <w:lang w:val="en-GB"/>
        </w:rPr>
        <w:t xml:space="preserve">In </w:t>
      </w:r>
      <w:r w:rsidR="00275F70">
        <w:rPr>
          <w:sz w:val="28"/>
          <w:szCs w:val="28"/>
          <w:lang w:val="en-GB"/>
        </w:rPr>
        <w:t>other words</w:t>
      </w:r>
      <w:r w:rsidR="007A4EE4">
        <w:rPr>
          <w:sz w:val="28"/>
          <w:szCs w:val="28"/>
          <w:lang w:val="en-GB"/>
        </w:rPr>
        <w:t>, decisions have been</w:t>
      </w:r>
      <w:r w:rsidR="00275F70">
        <w:rPr>
          <w:sz w:val="28"/>
          <w:szCs w:val="28"/>
          <w:lang w:val="en-GB"/>
        </w:rPr>
        <w:t xml:space="preserve"> </w:t>
      </w:r>
      <w:r w:rsidR="007A4EE4">
        <w:rPr>
          <w:sz w:val="28"/>
          <w:szCs w:val="28"/>
          <w:lang w:val="en-GB"/>
        </w:rPr>
        <w:t xml:space="preserve">made </w:t>
      </w:r>
      <w:r w:rsidR="00275F70">
        <w:rPr>
          <w:sz w:val="28"/>
          <w:szCs w:val="28"/>
          <w:lang w:val="en-GB"/>
        </w:rPr>
        <w:t xml:space="preserve">by the various heads of state </w:t>
      </w:r>
      <w:r w:rsidR="00702DDE">
        <w:rPr>
          <w:sz w:val="28"/>
          <w:szCs w:val="28"/>
          <w:lang w:val="en-GB"/>
        </w:rPr>
        <w:t>in spite of their own constitutional requirements</w:t>
      </w:r>
      <w:r w:rsidR="007A4EE4">
        <w:rPr>
          <w:sz w:val="28"/>
          <w:szCs w:val="28"/>
          <w:lang w:val="en-GB"/>
        </w:rPr>
        <w:t>, in the case of France,</w:t>
      </w:r>
      <w:r w:rsidR="00702DDE">
        <w:rPr>
          <w:sz w:val="28"/>
          <w:szCs w:val="28"/>
          <w:lang w:val="en-GB"/>
        </w:rPr>
        <w:t xml:space="preserve"> and in spite of the financial </w:t>
      </w:r>
      <w:r w:rsidR="00E66192">
        <w:rPr>
          <w:sz w:val="28"/>
          <w:szCs w:val="28"/>
          <w:lang w:val="en-GB"/>
        </w:rPr>
        <w:t>competences</w:t>
      </w:r>
      <w:r w:rsidR="00702DDE">
        <w:rPr>
          <w:sz w:val="28"/>
          <w:szCs w:val="28"/>
          <w:lang w:val="en-GB"/>
        </w:rPr>
        <w:t xml:space="preserve"> </w:t>
      </w:r>
      <w:r w:rsidR="007A4EE4">
        <w:rPr>
          <w:sz w:val="28"/>
          <w:szCs w:val="28"/>
          <w:lang w:val="en-GB"/>
        </w:rPr>
        <w:t>granted</w:t>
      </w:r>
      <w:r w:rsidR="00702DDE">
        <w:rPr>
          <w:sz w:val="28"/>
          <w:szCs w:val="28"/>
          <w:lang w:val="en-GB"/>
        </w:rPr>
        <w:t xml:space="preserve"> by European treaties themselves. </w:t>
      </w:r>
    </w:p>
    <w:p w14:paraId="3A195745" w14:textId="48499B63" w:rsidR="008C67C7" w:rsidRPr="00153D61" w:rsidRDefault="00702DDE" w:rsidP="00B4036C">
      <w:pPr>
        <w:jc w:val="both"/>
        <w:rPr>
          <w:sz w:val="28"/>
          <w:szCs w:val="28"/>
          <w:lang w:val="en-GB"/>
        </w:rPr>
      </w:pPr>
      <w:r>
        <w:rPr>
          <w:sz w:val="28"/>
          <w:szCs w:val="28"/>
          <w:lang w:val="en-GB"/>
        </w:rPr>
        <w:t xml:space="preserve">In our view therefore, legal actions could be possible </w:t>
      </w:r>
      <w:r w:rsidR="007A6AD7">
        <w:rPr>
          <w:sz w:val="28"/>
          <w:szCs w:val="28"/>
          <w:lang w:val="en-GB"/>
        </w:rPr>
        <w:t xml:space="preserve">under </w:t>
      </w:r>
      <w:r>
        <w:rPr>
          <w:sz w:val="28"/>
          <w:szCs w:val="28"/>
          <w:lang w:val="en-GB"/>
        </w:rPr>
        <w:t xml:space="preserve">domestic law, </w:t>
      </w:r>
      <w:r w:rsidR="007A6AD7">
        <w:rPr>
          <w:sz w:val="28"/>
          <w:szCs w:val="28"/>
          <w:lang w:val="en-GB"/>
        </w:rPr>
        <w:t>as appropriate</w:t>
      </w:r>
      <w:r>
        <w:rPr>
          <w:sz w:val="28"/>
          <w:szCs w:val="28"/>
          <w:lang w:val="en-GB"/>
        </w:rPr>
        <w:t xml:space="preserve">, for breach of </w:t>
      </w:r>
      <w:r w:rsidR="007A6AD7">
        <w:rPr>
          <w:sz w:val="28"/>
          <w:szCs w:val="28"/>
          <w:lang w:val="en-GB"/>
        </w:rPr>
        <w:t xml:space="preserve">member states’ </w:t>
      </w:r>
      <w:r>
        <w:rPr>
          <w:sz w:val="28"/>
          <w:szCs w:val="28"/>
          <w:lang w:val="en-GB"/>
        </w:rPr>
        <w:t>constitu</w:t>
      </w:r>
      <w:r w:rsidR="007A6AD7">
        <w:rPr>
          <w:sz w:val="28"/>
          <w:szCs w:val="28"/>
          <w:lang w:val="en-GB"/>
        </w:rPr>
        <w:t>t</w:t>
      </w:r>
      <w:r>
        <w:rPr>
          <w:sz w:val="28"/>
          <w:szCs w:val="28"/>
          <w:lang w:val="en-GB"/>
        </w:rPr>
        <w:t>ion</w:t>
      </w:r>
      <w:r w:rsidR="007A6AD7">
        <w:rPr>
          <w:sz w:val="28"/>
          <w:szCs w:val="28"/>
          <w:lang w:val="en-GB"/>
        </w:rPr>
        <w:t>s</w:t>
      </w:r>
      <w:r>
        <w:rPr>
          <w:sz w:val="28"/>
          <w:szCs w:val="28"/>
          <w:lang w:val="en-GB"/>
        </w:rPr>
        <w:t xml:space="preserve"> by political decision-makers in European bodies. </w:t>
      </w:r>
    </w:p>
    <w:p w14:paraId="175BF527" w14:textId="6B50FA11" w:rsidR="00611489" w:rsidRPr="00153D61" w:rsidRDefault="00702DDE" w:rsidP="00DC585A">
      <w:pPr>
        <w:jc w:val="both"/>
        <w:rPr>
          <w:sz w:val="28"/>
          <w:szCs w:val="28"/>
          <w:lang w:val="en-GB"/>
        </w:rPr>
      </w:pPr>
      <w:r>
        <w:rPr>
          <w:sz w:val="28"/>
          <w:szCs w:val="28"/>
          <w:lang w:val="en-GB"/>
        </w:rPr>
        <w:t xml:space="preserve">We also believe that cases could be brought under European law by virtue of the problematic decisions to increase the scale of contributions </w:t>
      </w:r>
      <w:r w:rsidR="00770594">
        <w:rPr>
          <w:sz w:val="28"/>
          <w:szCs w:val="28"/>
          <w:lang w:val="en-GB"/>
        </w:rPr>
        <w:t>from</w:t>
      </w:r>
      <w:r>
        <w:rPr>
          <w:sz w:val="28"/>
          <w:szCs w:val="28"/>
          <w:lang w:val="en-GB"/>
        </w:rPr>
        <w:t xml:space="preserve"> European citizens by creating a direct European corporate tax</w:t>
      </w:r>
      <w:r w:rsidR="00770594">
        <w:rPr>
          <w:sz w:val="28"/>
          <w:szCs w:val="28"/>
          <w:lang w:val="en-GB"/>
        </w:rPr>
        <w:t>,</w:t>
      </w:r>
      <w:r>
        <w:rPr>
          <w:sz w:val="28"/>
          <w:szCs w:val="28"/>
          <w:lang w:val="en-GB"/>
        </w:rPr>
        <w:t xml:space="preserve"> which exceeds the limits to fiscal competenc</w:t>
      </w:r>
      <w:r w:rsidR="00250C82">
        <w:rPr>
          <w:sz w:val="28"/>
          <w:szCs w:val="28"/>
          <w:lang w:val="en-GB"/>
        </w:rPr>
        <w:t>e</w:t>
      </w:r>
      <w:r>
        <w:rPr>
          <w:sz w:val="28"/>
          <w:szCs w:val="28"/>
          <w:lang w:val="en-GB"/>
        </w:rPr>
        <w:t xml:space="preserve"> established by current treaties. In any event, a new European tax could only </w:t>
      </w:r>
      <w:r w:rsidR="004838C1">
        <w:rPr>
          <w:sz w:val="28"/>
          <w:szCs w:val="28"/>
          <w:lang w:val="en-GB"/>
        </w:rPr>
        <w:t>be created and come</w:t>
      </w:r>
      <w:r>
        <w:rPr>
          <w:sz w:val="28"/>
          <w:szCs w:val="28"/>
          <w:lang w:val="en-GB"/>
        </w:rPr>
        <w:t xml:space="preserve"> into force once approved by member states in accordance with their own legal processes (Article 311 </w:t>
      </w:r>
      <w:r w:rsidR="0016320A">
        <w:rPr>
          <w:sz w:val="28"/>
          <w:szCs w:val="28"/>
          <w:lang w:val="en-GB"/>
        </w:rPr>
        <w:t>TFEU</w:t>
      </w:r>
      <w:r w:rsidR="00C772D5">
        <w:rPr>
          <w:sz w:val="28"/>
          <w:szCs w:val="28"/>
          <w:lang w:val="en-GB"/>
        </w:rPr>
        <w:t xml:space="preserve">). </w:t>
      </w:r>
    </w:p>
    <w:p w14:paraId="5A76643C" w14:textId="4CB8004C" w:rsidR="00DC585A" w:rsidRPr="0016320A" w:rsidRDefault="0016320A" w:rsidP="00DC585A">
      <w:pPr>
        <w:jc w:val="both"/>
        <w:rPr>
          <w:sz w:val="28"/>
          <w:szCs w:val="28"/>
          <w:lang w:val="en-GB"/>
        </w:rPr>
      </w:pPr>
      <w:r>
        <w:rPr>
          <w:sz w:val="28"/>
          <w:szCs w:val="28"/>
          <w:lang w:val="en-GB"/>
        </w:rPr>
        <w:t xml:space="preserve">This issue also doubles up as another profoundly political one relating to the choice of constitutive treaties for the </w:t>
      </w:r>
      <w:r w:rsidR="00EA3423">
        <w:rPr>
          <w:sz w:val="28"/>
          <w:szCs w:val="28"/>
          <w:lang w:val="en-GB"/>
        </w:rPr>
        <w:t xml:space="preserve">exclusively debt-based </w:t>
      </w:r>
      <w:r>
        <w:rPr>
          <w:sz w:val="28"/>
          <w:szCs w:val="28"/>
          <w:lang w:val="en-GB"/>
        </w:rPr>
        <w:t>funding of political bodies (Article 123 TFEU). We refer here to the issue of the independence of the ECB (European Central Bank) and the ESCB (</w:t>
      </w:r>
      <w:r w:rsidRPr="0016320A">
        <w:rPr>
          <w:sz w:val="28"/>
          <w:szCs w:val="28"/>
          <w:lang w:val="en-GB"/>
        </w:rPr>
        <w:t>European System of Central Banks</w:t>
      </w:r>
      <w:r>
        <w:rPr>
          <w:sz w:val="28"/>
          <w:szCs w:val="28"/>
          <w:lang w:val="en-GB"/>
        </w:rPr>
        <w:t xml:space="preserve">; Article 127 </w:t>
      </w:r>
      <w:r>
        <w:rPr>
          <w:i/>
          <w:sz w:val="28"/>
          <w:szCs w:val="28"/>
          <w:lang w:val="en-GB"/>
        </w:rPr>
        <w:t>et seq</w:t>
      </w:r>
      <w:r>
        <w:rPr>
          <w:sz w:val="28"/>
          <w:szCs w:val="28"/>
          <w:lang w:val="en-GB"/>
        </w:rPr>
        <w:t xml:space="preserve"> TFEU) </w:t>
      </w:r>
      <w:r w:rsidR="001D527B">
        <w:rPr>
          <w:sz w:val="28"/>
          <w:szCs w:val="28"/>
          <w:lang w:val="en-GB"/>
        </w:rPr>
        <w:t xml:space="preserve">in relation to </w:t>
      </w:r>
      <w:r>
        <w:rPr>
          <w:sz w:val="28"/>
          <w:szCs w:val="28"/>
          <w:lang w:val="en-GB"/>
        </w:rPr>
        <w:t xml:space="preserve">the public </w:t>
      </w:r>
      <w:r w:rsidR="00231D12">
        <w:rPr>
          <w:sz w:val="28"/>
          <w:szCs w:val="28"/>
          <w:lang w:val="en-GB"/>
        </w:rPr>
        <w:t xml:space="preserve">funding </w:t>
      </w:r>
      <w:r>
        <w:rPr>
          <w:sz w:val="28"/>
          <w:szCs w:val="28"/>
          <w:lang w:val="en-GB"/>
        </w:rPr>
        <w:t xml:space="preserve">requirements </w:t>
      </w:r>
      <w:r w:rsidR="00A20D72">
        <w:rPr>
          <w:sz w:val="28"/>
          <w:szCs w:val="28"/>
          <w:lang w:val="en-GB"/>
        </w:rPr>
        <w:t>inherent in</w:t>
      </w:r>
      <w:r>
        <w:rPr>
          <w:sz w:val="28"/>
          <w:szCs w:val="28"/>
          <w:lang w:val="en-GB"/>
        </w:rPr>
        <w:t xml:space="preserve"> any political entity.</w:t>
      </w:r>
    </w:p>
    <w:p w14:paraId="4482FC12" w14:textId="700D19E0" w:rsidR="00436EDD" w:rsidRPr="00153D61" w:rsidRDefault="00436EDD" w:rsidP="00B4036C">
      <w:pPr>
        <w:jc w:val="both"/>
        <w:rPr>
          <w:sz w:val="28"/>
          <w:szCs w:val="28"/>
          <w:lang w:val="en-GB"/>
        </w:rPr>
      </w:pPr>
    </w:p>
    <w:p w14:paraId="4639C2F7" w14:textId="3682EFBE" w:rsidR="00834D33" w:rsidRPr="00153D61" w:rsidRDefault="0016320A" w:rsidP="00CF1953">
      <w:pPr>
        <w:pStyle w:val="Heading2"/>
        <w:rPr>
          <w:lang w:val="en-GB"/>
        </w:rPr>
      </w:pPr>
      <w:r>
        <w:rPr>
          <w:lang w:val="en-GB"/>
        </w:rPr>
        <w:t xml:space="preserve">Improper </w:t>
      </w:r>
      <w:r w:rsidR="004B46F2">
        <w:rPr>
          <w:lang w:val="en-GB"/>
        </w:rPr>
        <w:t>provision</w:t>
      </w:r>
      <w:r>
        <w:rPr>
          <w:lang w:val="en-GB"/>
        </w:rPr>
        <w:t xml:space="preserve"> of European public funds for policies decided internationally rather than at the European level</w:t>
      </w:r>
    </w:p>
    <w:p w14:paraId="6725DEC8" w14:textId="77777777" w:rsidR="00834D33" w:rsidRPr="00153D61" w:rsidRDefault="00834D33" w:rsidP="00CF1953">
      <w:pPr>
        <w:pStyle w:val="Heading2"/>
        <w:rPr>
          <w:lang w:val="en-GB"/>
        </w:rPr>
      </w:pPr>
    </w:p>
    <w:p w14:paraId="489B4D83" w14:textId="6FE3BEEE" w:rsidR="00AB734D" w:rsidRPr="00153D61" w:rsidRDefault="00AF0CF9" w:rsidP="00B4036C">
      <w:pPr>
        <w:jc w:val="both"/>
        <w:rPr>
          <w:sz w:val="28"/>
          <w:szCs w:val="28"/>
          <w:lang w:val="en-GB"/>
        </w:rPr>
      </w:pPr>
      <w:r>
        <w:rPr>
          <w:sz w:val="28"/>
          <w:szCs w:val="28"/>
          <w:lang w:val="en-GB"/>
        </w:rPr>
        <w:t xml:space="preserve">A third category of issues is more political than strictly legal. These have to do with the improper provision of </w:t>
      </w:r>
      <w:r w:rsidR="00014155">
        <w:rPr>
          <w:sz w:val="28"/>
          <w:szCs w:val="28"/>
          <w:lang w:val="en-GB"/>
        </w:rPr>
        <w:t>funds</w:t>
      </w:r>
      <w:r>
        <w:rPr>
          <w:sz w:val="28"/>
          <w:szCs w:val="28"/>
          <w:lang w:val="en-GB"/>
        </w:rPr>
        <w:t xml:space="preserve"> from European households to international organisations linked to varying degrees to the UN. There seems to be no legal basis, and above all no political basis</w:t>
      </w:r>
      <w:r w:rsidR="00C5452D">
        <w:rPr>
          <w:sz w:val="28"/>
          <w:szCs w:val="28"/>
          <w:lang w:val="en-GB"/>
        </w:rPr>
        <w:t>,</w:t>
      </w:r>
      <w:r>
        <w:rPr>
          <w:sz w:val="28"/>
          <w:szCs w:val="28"/>
          <w:lang w:val="en-GB"/>
        </w:rPr>
        <w:t xml:space="preserve"> for funds to be provided in this way, since the taxpayers in question </w:t>
      </w:r>
      <w:r w:rsidR="00C5452D">
        <w:rPr>
          <w:sz w:val="28"/>
          <w:szCs w:val="28"/>
          <w:lang w:val="en-GB"/>
        </w:rPr>
        <w:t xml:space="preserve">are not </w:t>
      </w:r>
      <w:r>
        <w:rPr>
          <w:sz w:val="28"/>
          <w:szCs w:val="28"/>
          <w:lang w:val="en-GB"/>
        </w:rPr>
        <w:t xml:space="preserve">aware of and certainly have </w:t>
      </w:r>
      <w:r w:rsidR="00C5452D">
        <w:rPr>
          <w:sz w:val="28"/>
          <w:szCs w:val="28"/>
          <w:lang w:val="en-GB"/>
        </w:rPr>
        <w:t xml:space="preserve">not </w:t>
      </w:r>
      <w:r w:rsidR="00C13E15">
        <w:rPr>
          <w:sz w:val="28"/>
          <w:szCs w:val="28"/>
          <w:lang w:val="en-GB"/>
        </w:rPr>
        <w:t xml:space="preserve">given their </w:t>
      </w:r>
      <w:r w:rsidR="00C5452D">
        <w:rPr>
          <w:sz w:val="28"/>
          <w:szCs w:val="28"/>
          <w:lang w:val="en-GB"/>
        </w:rPr>
        <w:t xml:space="preserve">consent </w:t>
      </w:r>
      <w:r w:rsidR="00C13E15">
        <w:rPr>
          <w:sz w:val="28"/>
          <w:szCs w:val="28"/>
          <w:lang w:val="en-GB"/>
        </w:rPr>
        <w:t>to</w:t>
      </w:r>
      <w:r>
        <w:rPr>
          <w:sz w:val="28"/>
          <w:szCs w:val="28"/>
          <w:lang w:val="en-GB"/>
        </w:rPr>
        <w:t xml:space="preserve"> such a transfer of funds. </w:t>
      </w:r>
      <w:r w:rsidR="00C13E15">
        <w:rPr>
          <w:sz w:val="28"/>
          <w:szCs w:val="28"/>
          <w:lang w:val="en-GB"/>
        </w:rPr>
        <w:t xml:space="preserve">This </w:t>
      </w:r>
      <w:r w:rsidR="00C5452D">
        <w:rPr>
          <w:sz w:val="28"/>
          <w:szCs w:val="28"/>
          <w:lang w:val="en-GB"/>
        </w:rPr>
        <w:t xml:space="preserve">involves </w:t>
      </w:r>
      <w:r w:rsidR="00C13E15">
        <w:rPr>
          <w:sz w:val="28"/>
          <w:szCs w:val="28"/>
          <w:lang w:val="en-GB"/>
        </w:rPr>
        <w:t>questioning the competence of European Union bodies to engage in what might be called a form of ‘delegation of power’.</w:t>
      </w:r>
    </w:p>
    <w:p w14:paraId="00DDB7A1" w14:textId="41464F2F" w:rsidR="005975E7" w:rsidRPr="00153D61" w:rsidRDefault="00080DF1" w:rsidP="00101C58">
      <w:pPr>
        <w:jc w:val="both"/>
        <w:rPr>
          <w:sz w:val="28"/>
          <w:szCs w:val="28"/>
          <w:lang w:val="en-GB"/>
        </w:rPr>
      </w:pPr>
      <w:r>
        <w:rPr>
          <w:sz w:val="28"/>
          <w:szCs w:val="28"/>
          <w:lang w:val="en-GB"/>
        </w:rPr>
        <w:t xml:space="preserve">This gives rise to a final category of legal problems relating to the ability of the various European entities (Commission and financial institutions) under current European treaties to act jointly with international </w:t>
      </w:r>
      <w:r w:rsidR="00C859EF">
        <w:rPr>
          <w:sz w:val="28"/>
          <w:szCs w:val="28"/>
          <w:lang w:val="en-GB"/>
        </w:rPr>
        <w:t xml:space="preserve">bodies </w:t>
      </w:r>
      <w:r>
        <w:rPr>
          <w:sz w:val="28"/>
          <w:szCs w:val="28"/>
          <w:lang w:val="en-GB"/>
        </w:rPr>
        <w:t>to determine policies that will be followed in the EU. This ability should be examined in two respects.</w:t>
      </w:r>
    </w:p>
    <w:p w14:paraId="5E20E1DC" w14:textId="5C8B1460" w:rsidR="00E1021B" w:rsidRPr="00153D61" w:rsidRDefault="00080DF1" w:rsidP="00101C58">
      <w:pPr>
        <w:jc w:val="both"/>
        <w:rPr>
          <w:sz w:val="28"/>
          <w:szCs w:val="28"/>
          <w:lang w:val="en-GB"/>
        </w:rPr>
      </w:pPr>
      <w:r>
        <w:rPr>
          <w:sz w:val="28"/>
          <w:szCs w:val="28"/>
          <w:lang w:val="en-GB"/>
        </w:rPr>
        <w:t xml:space="preserve">First, in our view the </w:t>
      </w:r>
      <w:r w:rsidR="00761106">
        <w:rPr>
          <w:sz w:val="28"/>
          <w:szCs w:val="28"/>
          <w:lang w:val="en-GB"/>
        </w:rPr>
        <w:t xml:space="preserve">actual ability </w:t>
      </w:r>
      <w:r>
        <w:rPr>
          <w:sz w:val="28"/>
          <w:szCs w:val="28"/>
          <w:lang w:val="en-GB"/>
        </w:rPr>
        <w:t xml:space="preserve">of the EU’s decision-making bodies </w:t>
      </w:r>
      <w:r w:rsidR="00761106">
        <w:rPr>
          <w:sz w:val="28"/>
          <w:szCs w:val="28"/>
          <w:lang w:val="en-GB"/>
        </w:rPr>
        <w:t xml:space="preserve">to </w:t>
      </w:r>
      <w:r w:rsidR="006D4D65">
        <w:rPr>
          <w:sz w:val="28"/>
          <w:szCs w:val="28"/>
          <w:lang w:val="en-GB"/>
        </w:rPr>
        <w:t xml:space="preserve">form </w:t>
      </w:r>
      <w:r>
        <w:rPr>
          <w:sz w:val="28"/>
          <w:szCs w:val="28"/>
          <w:lang w:val="en-GB"/>
        </w:rPr>
        <w:t>political and economic relations</w:t>
      </w:r>
      <w:r w:rsidR="006D4D65">
        <w:rPr>
          <w:sz w:val="28"/>
          <w:szCs w:val="28"/>
          <w:lang w:val="en-GB"/>
        </w:rPr>
        <w:t>hips</w:t>
      </w:r>
      <w:r>
        <w:rPr>
          <w:sz w:val="28"/>
          <w:szCs w:val="28"/>
          <w:lang w:val="en-GB"/>
        </w:rPr>
        <w:t xml:space="preserve"> with international healthcare organisations should be checked (Article 168, complying with procedures laid down in Articles 207 – 4 b) and 218 of TFEU). Assuming that these bodies have no negotiating </w:t>
      </w:r>
      <w:r w:rsidR="00AA56C8">
        <w:rPr>
          <w:sz w:val="28"/>
          <w:szCs w:val="28"/>
          <w:lang w:val="en-GB"/>
        </w:rPr>
        <w:t>ability</w:t>
      </w:r>
      <w:r>
        <w:rPr>
          <w:sz w:val="28"/>
          <w:szCs w:val="28"/>
          <w:lang w:val="en-GB"/>
        </w:rPr>
        <w:t xml:space="preserve"> under the requirements of the constitutive </w:t>
      </w:r>
      <w:r w:rsidR="00AA56C8">
        <w:rPr>
          <w:sz w:val="28"/>
          <w:szCs w:val="28"/>
          <w:lang w:val="en-GB"/>
        </w:rPr>
        <w:t xml:space="preserve">European </w:t>
      </w:r>
      <w:r>
        <w:rPr>
          <w:sz w:val="28"/>
          <w:szCs w:val="28"/>
          <w:lang w:val="en-GB"/>
        </w:rPr>
        <w:t xml:space="preserve">treaties, what would be required would be either modification of the constitutive treaties (under the terms of Article 48 of TEU) or the establishment of an ad hoc treaty between the EU and the international organisation to </w:t>
      </w:r>
      <w:r w:rsidR="00137ED1">
        <w:rPr>
          <w:sz w:val="28"/>
          <w:szCs w:val="28"/>
          <w:lang w:val="en-GB"/>
        </w:rPr>
        <w:t>justify</w:t>
      </w:r>
      <w:r w:rsidR="009E33B5">
        <w:rPr>
          <w:sz w:val="28"/>
          <w:szCs w:val="28"/>
          <w:lang w:val="en-GB"/>
        </w:rPr>
        <w:t xml:space="preserve"> </w:t>
      </w:r>
      <w:r>
        <w:rPr>
          <w:sz w:val="28"/>
          <w:szCs w:val="28"/>
          <w:lang w:val="en-GB"/>
        </w:rPr>
        <w:t xml:space="preserve">these negotiations. </w:t>
      </w:r>
      <w:r w:rsidR="00B76626">
        <w:rPr>
          <w:sz w:val="28"/>
          <w:szCs w:val="28"/>
          <w:lang w:val="en-GB"/>
        </w:rPr>
        <w:t>Informed</w:t>
      </w:r>
      <w:r w:rsidR="009E33B5">
        <w:rPr>
          <w:sz w:val="28"/>
          <w:szCs w:val="28"/>
          <w:lang w:val="en-GB"/>
        </w:rPr>
        <w:t xml:space="preserve"> observers should monitor compliance </w:t>
      </w:r>
      <w:r w:rsidR="00B76626">
        <w:rPr>
          <w:sz w:val="28"/>
          <w:szCs w:val="28"/>
          <w:lang w:val="en-GB"/>
        </w:rPr>
        <w:t>with the terms of the European treaties with respect to negotiation of such a treaty.</w:t>
      </w:r>
    </w:p>
    <w:p w14:paraId="277AB16D" w14:textId="34665DBB" w:rsidR="006F1DF3" w:rsidRPr="00B76626" w:rsidRDefault="00B76626" w:rsidP="00101C58">
      <w:pPr>
        <w:jc w:val="both"/>
        <w:rPr>
          <w:sz w:val="28"/>
          <w:szCs w:val="28"/>
          <w:lang w:val="en-GB"/>
        </w:rPr>
      </w:pPr>
      <w:r>
        <w:rPr>
          <w:sz w:val="28"/>
          <w:szCs w:val="28"/>
          <w:lang w:val="en-GB"/>
        </w:rPr>
        <w:t xml:space="preserve">On a related point, your attention is drawn to the specific fact that negotiations about healthcare problems do not seem to fit </w:t>
      </w:r>
      <w:r w:rsidR="00037D7A">
        <w:rPr>
          <w:sz w:val="28"/>
          <w:szCs w:val="28"/>
          <w:lang w:val="en-GB"/>
        </w:rPr>
        <w:t xml:space="preserve">in any clear way </w:t>
      </w:r>
      <w:r>
        <w:rPr>
          <w:sz w:val="28"/>
          <w:szCs w:val="28"/>
          <w:lang w:val="en-GB"/>
        </w:rPr>
        <w:t xml:space="preserve">into the framework established by Articles 21 </w:t>
      </w:r>
      <w:r>
        <w:rPr>
          <w:i/>
          <w:sz w:val="28"/>
          <w:szCs w:val="28"/>
          <w:lang w:val="en-GB"/>
        </w:rPr>
        <w:t>et seq</w:t>
      </w:r>
      <w:r>
        <w:rPr>
          <w:sz w:val="28"/>
          <w:szCs w:val="28"/>
          <w:lang w:val="en-GB"/>
        </w:rPr>
        <w:t xml:space="preserve"> of TEU relating to external EU action.</w:t>
      </w:r>
    </w:p>
    <w:p w14:paraId="3E9B9ECC" w14:textId="59733506" w:rsidR="00101C58" w:rsidRPr="00153D61" w:rsidRDefault="00B76626" w:rsidP="00101C58">
      <w:pPr>
        <w:jc w:val="both"/>
        <w:rPr>
          <w:sz w:val="28"/>
          <w:szCs w:val="28"/>
          <w:lang w:val="en-GB"/>
        </w:rPr>
      </w:pPr>
      <w:r>
        <w:rPr>
          <w:sz w:val="28"/>
          <w:szCs w:val="28"/>
          <w:lang w:val="en-GB"/>
        </w:rPr>
        <w:t xml:space="preserve">Second, concerning </w:t>
      </w:r>
      <w:r w:rsidR="007B08FC">
        <w:rPr>
          <w:sz w:val="28"/>
          <w:szCs w:val="28"/>
          <w:lang w:val="en-GB"/>
        </w:rPr>
        <w:t xml:space="preserve">the </w:t>
      </w:r>
      <w:r>
        <w:rPr>
          <w:sz w:val="28"/>
          <w:szCs w:val="28"/>
          <w:lang w:val="en-GB"/>
        </w:rPr>
        <w:t xml:space="preserve">compliance </w:t>
      </w:r>
      <w:r w:rsidR="007B08FC">
        <w:rPr>
          <w:sz w:val="28"/>
          <w:szCs w:val="28"/>
          <w:lang w:val="en-GB"/>
        </w:rPr>
        <w:t xml:space="preserve">of </w:t>
      </w:r>
      <w:r>
        <w:rPr>
          <w:sz w:val="28"/>
          <w:szCs w:val="28"/>
          <w:lang w:val="en-GB"/>
        </w:rPr>
        <w:t>contracts between the various European bodies and private or semi-private (public-private partnership) companies. In our view, European bodies</w:t>
      </w:r>
      <w:r w:rsidR="00F641D3">
        <w:rPr>
          <w:sz w:val="28"/>
          <w:szCs w:val="28"/>
          <w:lang w:val="en-GB"/>
        </w:rPr>
        <w:t>’</w:t>
      </w:r>
      <w:r w:rsidR="00F641D3" w:rsidRPr="00F641D3">
        <w:rPr>
          <w:sz w:val="28"/>
          <w:szCs w:val="28"/>
          <w:lang w:val="en-GB"/>
        </w:rPr>
        <w:t xml:space="preserve"> </w:t>
      </w:r>
      <w:r w:rsidR="00F641D3">
        <w:rPr>
          <w:sz w:val="28"/>
          <w:szCs w:val="28"/>
          <w:lang w:val="en-GB"/>
        </w:rPr>
        <w:t>compliance</w:t>
      </w:r>
      <w:r>
        <w:rPr>
          <w:sz w:val="28"/>
          <w:szCs w:val="28"/>
          <w:lang w:val="en-GB"/>
        </w:rPr>
        <w:t xml:space="preserve"> with the requirements of constitutive EU treaties relating to the awarding of public contracts should be checked. </w:t>
      </w:r>
    </w:p>
    <w:p w14:paraId="3E4A2C8B" w14:textId="57CA5FEF" w:rsidR="00101C58" w:rsidRPr="00153D61" w:rsidRDefault="00101C58" w:rsidP="00B4036C">
      <w:pPr>
        <w:jc w:val="both"/>
        <w:rPr>
          <w:sz w:val="28"/>
          <w:szCs w:val="28"/>
          <w:lang w:val="en-GB"/>
        </w:rPr>
      </w:pPr>
    </w:p>
    <w:p w14:paraId="09CF4292" w14:textId="6402031D" w:rsidR="000D2CCC" w:rsidRPr="00153D61" w:rsidRDefault="000D2CCC" w:rsidP="000D2CCC">
      <w:pPr>
        <w:pStyle w:val="Heading1"/>
        <w:rPr>
          <w:lang w:val="en-GB"/>
        </w:rPr>
      </w:pPr>
      <w:r w:rsidRPr="00153D61">
        <w:rPr>
          <w:lang w:val="en-GB"/>
        </w:rPr>
        <w:t>III - Conclusion</w:t>
      </w:r>
    </w:p>
    <w:p w14:paraId="3CBFB77A" w14:textId="77777777" w:rsidR="000D2CCC" w:rsidRPr="00153D61" w:rsidRDefault="000D2CCC" w:rsidP="00B4036C">
      <w:pPr>
        <w:jc w:val="both"/>
        <w:rPr>
          <w:sz w:val="28"/>
          <w:szCs w:val="28"/>
          <w:lang w:val="en-GB"/>
        </w:rPr>
      </w:pPr>
    </w:p>
    <w:p w14:paraId="4AF8CD8D" w14:textId="571B4934" w:rsidR="00C0475D" w:rsidRPr="00153D61" w:rsidRDefault="008C5C91" w:rsidP="00B4036C">
      <w:pPr>
        <w:jc w:val="both"/>
        <w:rPr>
          <w:sz w:val="28"/>
          <w:szCs w:val="28"/>
          <w:lang w:val="en-GB"/>
        </w:rPr>
      </w:pPr>
      <w:r>
        <w:rPr>
          <w:sz w:val="28"/>
          <w:szCs w:val="28"/>
          <w:lang w:val="en-GB"/>
        </w:rPr>
        <w:t>The provision of European taxpayers</w:t>
      </w:r>
      <w:r w:rsidR="00C44E59">
        <w:rPr>
          <w:sz w:val="28"/>
          <w:szCs w:val="28"/>
          <w:lang w:val="en-GB"/>
        </w:rPr>
        <w:t>’</w:t>
      </w:r>
      <w:r>
        <w:rPr>
          <w:sz w:val="28"/>
          <w:szCs w:val="28"/>
          <w:lang w:val="en-GB"/>
        </w:rPr>
        <w:t xml:space="preserve"> </w:t>
      </w:r>
      <w:r w:rsidR="00C44E59">
        <w:rPr>
          <w:sz w:val="28"/>
          <w:szCs w:val="28"/>
          <w:lang w:val="en-GB"/>
        </w:rPr>
        <w:t xml:space="preserve">resources </w:t>
      </w:r>
      <w:r>
        <w:rPr>
          <w:sz w:val="28"/>
          <w:szCs w:val="28"/>
          <w:lang w:val="en-GB"/>
        </w:rPr>
        <w:t xml:space="preserve">by various European bodies, including at the highest level (European Council and European Commission) in the draft 2021-2027 budget reveals the identity of the real </w:t>
      </w:r>
      <w:r w:rsidR="00284BEA">
        <w:rPr>
          <w:sz w:val="28"/>
          <w:szCs w:val="28"/>
          <w:lang w:val="en-GB"/>
        </w:rPr>
        <w:t>ultimate</w:t>
      </w:r>
      <w:r>
        <w:rPr>
          <w:sz w:val="28"/>
          <w:szCs w:val="28"/>
          <w:lang w:val="en-GB"/>
        </w:rPr>
        <w:t xml:space="preserve"> beneficiaries of both the artificial European project, under </w:t>
      </w:r>
      <w:r w:rsidR="00B623D7">
        <w:rPr>
          <w:sz w:val="28"/>
          <w:szCs w:val="28"/>
          <w:lang w:val="en-GB"/>
        </w:rPr>
        <w:t>whose</w:t>
      </w:r>
      <w:r>
        <w:rPr>
          <w:sz w:val="28"/>
          <w:szCs w:val="28"/>
          <w:lang w:val="en-GB"/>
        </w:rPr>
        <w:t xml:space="preserve"> yoke Europeans now live, and of UN-related international organisations. These are financial organisations, creditors on the one hand and intermediaries between individuals and creditors on the other, whose role it is to allocate public resources to private creditors. More generally, the</w:t>
      </w:r>
      <w:r w:rsidR="00BA0F7C">
        <w:rPr>
          <w:sz w:val="28"/>
          <w:szCs w:val="28"/>
          <w:lang w:val="en-GB"/>
        </w:rPr>
        <w:t>y</w:t>
      </w:r>
      <w:r>
        <w:rPr>
          <w:sz w:val="28"/>
          <w:szCs w:val="28"/>
          <w:lang w:val="en-GB"/>
        </w:rPr>
        <w:t xml:space="preserve"> are multinational organisations </w:t>
      </w:r>
      <w:r w:rsidR="006B2517">
        <w:rPr>
          <w:sz w:val="28"/>
          <w:szCs w:val="28"/>
          <w:lang w:val="en-GB"/>
        </w:rPr>
        <w:t xml:space="preserve">linked </w:t>
      </w:r>
      <w:r>
        <w:rPr>
          <w:sz w:val="28"/>
          <w:szCs w:val="28"/>
          <w:lang w:val="en-GB"/>
        </w:rPr>
        <w:t xml:space="preserve">directly </w:t>
      </w:r>
      <w:r w:rsidR="006B2517">
        <w:rPr>
          <w:sz w:val="28"/>
          <w:szCs w:val="28"/>
          <w:lang w:val="en-GB"/>
        </w:rPr>
        <w:t xml:space="preserve">to </w:t>
      </w:r>
      <w:r>
        <w:rPr>
          <w:sz w:val="28"/>
          <w:szCs w:val="28"/>
          <w:lang w:val="en-GB"/>
        </w:rPr>
        <w:t xml:space="preserve">the financial organisations above. </w:t>
      </w:r>
    </w:p>
    <w:p w14:paraId="16C7BC21" w14:textId="2966588C" w:rsidR="001C090D" w:rsidRPr="00153D61" w:rsidRDefault="006B2517" w:rsidP="00B4036C">
      <w:pPr>
        <w:jc w:val="both"/>
        <w:rPr>
          <w:sz w:val="28"/>
          <w:szCs w:val="28"/>
          <w:lang w:val="en-GB"/>
        </w:rPr>
      </w:pPr>
      <w:r>
        <w:rPr>
          <w:sz w:val="28"/>
          <w:szCs w:val="28"/>
          <w:lang w:val="en-GB"/>
        </w:rPr>
        <w:t xml:space="preserve">This draft budget also makes it possible to position publicly European institutions </w:t>
      </w:r>
      <w:r w:rsidR="00CA4A18">
        <w:rPr>
          <w:sz w:val="28"/>
          <w:szCs w:val="28"/>
          <w:lang w:val="en-GB"/>
        </w:rPr>
        <w:t xml:space="preserve">in relation </w:t>
      </w:r>
      <w:r>
        <w:rPr>
          <w:sz w:val="28"/>
          <w:szCs w:val="28"/>
          <w:lang w:val="en-GB"/>
        </w:rPr>
        <w:t xml:space="preserve">to the UN and its related organisations. In this </w:t>
      </w:r>
      <w:r w:rsidR="00820504">
        <w:rPr>
          <w:sz w:val="28"/>
          <w:szCs w:val="28"/>
          <w:lang w:val="en-GB"/>
        </w:rPr>
        <w:t>plan</w:t>
      </w:r>
      <w:r>
        <w:rPr>
          <w:sz w:val="28"/>
          <w:szCs w:val="28"/>
          <w:lang w:val="en-GB"/>
        </w:rPr>
        <w:t xml:space="preserve">, the EU appears for what it really is: a political project aiming to be the drive belt in Europe of decisions made at the global level by private personalities hiding behind the façade of international organisations which they control or </w:t>
      </w:r>
      <w:r w:rsidR="008D6627">
        <w:rPr>
          <w:sz w:val="28"/>
          <w:szCs w:val="28"/>
          <w:lang w:val="en-GB"/>
        </w:rPr>
        <w:t>guide</w:t>
      </w:r>
      <w:r>
        <w:rPr>
          <w:sz w:val="28"/>
          <w:szCs w:val="28"/>
          <w:lang w:val="en-GB"/>
        </w:rPr>
        <w:t xml:space="preserve"> directly or indirectly. </w:t>
      </w:r>
    </w:p>
    <w:sectPr w:rsidR="001C090D" w:rsidRPr="00153D6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26D70" w14:textId="77777777" w:rsidR="005C1425" w:rsidRDefault="005C1425" w:rsidP="00B4036C">
      <w:pPr>
        <w:spacing w:after="0" w:line="240" w:lineRule="auto"/>
      </w:pPr>
      <w:r>
        <w:separator/>
      </w:r>
    </w:p>
  </w:endnote>
  <w:endnote w:type="continuationSeparator" w:id="0">
    <w:p w14:paraId="34C6AE86" w14:textId="77777777" w:rsidR="005C1425" w:rsidRDefault="005C1425" w:rsidP="00B40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808317"/>
      <w:docPartObj>
        <w:docPartGallery w:val="Page Numbers (Bottom of Page)"/>
        <w:docPartUnique/>
      </w:docPartObj>
    </w:sdtPr>
    <w:sdtEndPr/>
    <w:sdtContent>
      <w:p w14:paraId="0AE589B6" w14:textId="214A926C" w:rsidR="00A21143" w:rsidRDefault="00A21143">
        <w:pPr>
          <w:pStyle w:val="Footer"/>
          <w:jc w:val="right"/>
        </w:pPr>
        <w:r>
          <w:fldChar w:fldCharType="begin"/>
        </w:r>
        <w:r>
          <w:instrText>PAGE   \* MERGEFORMAT</w:instrText>
        </w:r>
        <w:r>
          <w:fldChar w:fldCharType="separate"/>
        </w:r>
        <w:r w:rsidR="005C1425">
          <w:rPr>
            <w:noProof/>
          </w:rPr>
          <w:t>1</w:t>
        </w:r>
        <w:r>
          <w:fldChar w:fldCharType="end"/>
        </w:r>
      </w:p>
    </w:sdtContent>
  </w:sdt>
  <w:p w14:paraId="2F9B5817" w14:textId="77777777" w:rsidR="00A21143" w:rsidRDefault="00A21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60B31" w14:textId="77777777" w:rsidR="005C1425" w:rsidRDefault="005C1425" w:rsidP="00B4036C">
      <w:pPr>
        <w:spacing w:after="0" w:line="240" w:lineRule="auto"/>
      </w:pPr>
      <w:r>
        <w:separator/>
      </w:r>
    </w:p>
  </w:footnote>
  <w:footnote w:type="continuationSeparator" w:id="0">
    <w:p w14:paraId="3D94E7C3" w14:textId="77777777" w:rsidR="005C1425" w:rsidRDefault="005C1425" w:rsidP="00B40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C3DBA"/>
    <w:multiLevelType w:val="hybridMultilevel"/>
    <w:tmpl w:val="7DCEC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9594416"/>
    <w:multiLevelType w:val="hybridMultilevel"/>
    <w:tmpl w:val="693C9F20"/>
    <w:lvl w:ilvl="0" w:tplc="D6C00336">
      <w:start w:val="2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6C"/>
    <w:rsid w:val="00004D90"/>
    <w:rsid w:val="00010B1D"/>
    <w:rsid w:val="00010BF7"/>
    <w:rsid w:val="00010E88"/>
    <w:rsid w:val="00014155"/>
    <w:rsid w:val="0002379D"/>
    <w:rsid w:val="00024566"/>
    <w:rsid w:val="00037D7A"/>
    <w:rsid w:val="00047899"/>
    <w:rsid w:val="00047DA6"/>
    <w:rsid w:val="000513F2"/>
    <w:rsid w:val="0005693C"/>
    <w:rsid w:val="000670E0"/>
    <w:rsid w:val="00077BE2"/>
    <w:rsid w:val="00080DF1"/>
    <w:rsid w:val="00081ADA"/>
    <w:rsid w:val="00086D65"/>
    <w:rsid w:val="00092A8A"/>
    <w:rsid w:val="00097E05"/>
    <w:rsid w:val="000A4D72"/>
    <w:rsid w:val="000A6B45"/>
    <w:rsid w:val="000A7F6A"/>
    <w:rsid w:val="000B64A1"/>
    <w:rsid w:val="000C1C38"/>
    <w:rsid w:val="000D13B1"/>
    <w:rsid w:val="000D2CCC"/>
    <w:rsid w:val="000D3503"/>
    <w:rsid w:val="000D6F1C"/>
    <w:rsid w:val="000E3456"/>
    <w:rsid w:val="000F338F"/>
    <w:rsid w:val="000F6C14"/>
    <w:rsid w:val="00101544"/>
    <w:rsid w:val="00101C58"/>
    <w:rsid w:val="001055BF"/>
    <w:rsid w:val="00110DCA"/>
    <w:rsid w:val="00111C8E"/>
    <w:rsid w:val="001142B2"/>
    <w:rsid w:val="00116F2E"/>
    <w:rsid w:val="00130D1B"/>
    <w:rsid w:val="00133CC3"/>
    <w:rsid w:val="00137ED1"/>
    <w:rsid w:val="001418FA"/>
    <w:rsid w:val="00142877"/>
    <w:rsid w:val="00144C0E"/>
    <w:rsid w:val="001463C9"/>
    <w:rsid w:val="00150F26"/>
    <w:rsid w:val="00153D61"/>
    <w:rsid w:val="00154DDB"/>
    <w:rsid w:val="0016320A"/>
    <w:rsid w:val="00170EC3"/>
    <w:rsid w:val="0017155B"/>
    <w:rsid w:val="00174154"/>
    <w:rsid w:val="00177E4E"/>
    <w:rsid w:val="00185AD1"/>
    <w:rsid w:val="001A0160"/>
    <w:rsid w:val="001A1EE9"/>
    <w:rsid w:val="001A64D5"/>
    <w:rsid w:val="001A7093"/>
    <w:rsid w:val="001B6914"/>
    <w:rsid w:val="001C090D"/>
    <w:rsid w:val="001C458A"/>
    <w:rsid w:val="001C5FEF"/>
    <w:rsid w:val="001D02F3"/>
    <w:rsid w:val="001D527B"/>
    <w:rsid w:val="001D7E10"/>
    <w:rsid w:val="001E2D0A"/>
    <w:rsid w:val="001E65D5"/>
    <w:rsid w:val="001E663E"/>
    <w:rsid w:val="001F1838"/>
    <w:rsid w:val="001F2B4E"/>
    <w:rsid w:val="00203A70"/>
    <w:rsid w:val="00211579"/>
    <w:rsid w:val="0022373D"/>
    <w:rsid w:val="0022783F"/>
    <w:rsid w:val="00227CC8"/>
    <w:rsid w:val="00231D12"/>
    <w:rsid w:val="00240344"/>
    <w:rsid w:val="00242F3B"/>
    <w:rsid w:val="00250C82"/>
    <w:rsid w:val="002558C5"/>
    <w:rsid w:val="00257548"/>
    <w:rsid w:val="002575B6"/>
    <w:rsid w:val="002704C5"/>
    <w:rsid w:val="00275F70"/>
    <w:rsid w:val="00280044"/>
    <w:rsid w:val="00280249"/>
    <w:rsid w:val="00284BEA"/>
    <w:rsid w:val="00285F81"/>
    <w:rsid w:val="00287A8F"/>
    <w:rsid w:val="00290263"/>
    <w:rsid w:val="00290A25"/>
    <w:rsid w:val="00290A28"/>
    <w:rsid w:val="00293B6B"/>
    <w:rsid w:val="002A04CA"/>
    <w:rsid w:val="002A54A1"/>
    <w:rsid w:val="002A7748"/>
    <w:rsid w:val="002B2BE3"/>
    <w:rsid w:val="002C0280"/>
    <w:rsid w:val="002C0F2F"/>
    <w:rsid w:val="002D4AAC"/>
    <w:rsid w:val="002E3330"/>
    <w:rsid w:val="002E39C0"/>
    <w:rsid w:val="002E4BB4"/>
    <w:rsid w:val="002F287E"/>
    <w:rsid w:val="0030463A"/>
    <w:rsid w:val="00313005"/>
    <w:rsid w:val="00313E93"/>
    <w:rsid w:val="00317E5A"/>
    <w:rsid w:val="00322A1E"/>
    <w:rsid w:val="00333B5A"/>
    <w:rsid w:val="00336514"/>
    <w:rsid w:val="003366D9"/>
    <w:rsid w:val="00341DE3"/>
    <w:rsid w:val="00345B04"/>
    <w:rsid w:val="00346F1E"/>
    <w:rsid w:val="003607C1"/>
    <w:rsid w:val="00363C3E"/>
    <w:rsid w:val="00387021"/>
    <w:rsid w:val="003872E4"/>
    <w:rsid w:val="003904E7"/>
    <w:rsid w:val="003A1130"/>
    <w:rsid w:val="003A113D"/>
    <w:rsid w:val="003A2945"/>
    <w:rsid w:val="003A5BD9"/>
    <w:rsid w:val="003B25BF"/>
    <w:rsid w:val="003B2AC0"/>
    <w:rsid w:val="003B3069"/>
    <w:rsid w:val="003B379C"/>
    <w:rsid w:val="003B6EB3"/>
    <w:rsid w:val="003D5211"/>
    <w:rsid w:val="003E084E"/>
    <w:rsid w:val="003E1033"/>
    <w:rsid w:val="003E76C3"/>
    <w:rsid w:val="003F228A"/>
    <w:rsid w:val="003F61BE"/>
    <w:rsid w:val="0040190F"/>
    <w:rsid w:val="004028AD"/>
    <w:rsid w:val="00410418"/>
    <w:rsid w:val="00414239"/>
    <w:rsid w:val="00423E49"/>
    <w:rsid w:val="00424001"/>
    <w:rsid w:val="004241B0"/>
    <w:rsid w:val="004270A0"/>
    <w:rsid w:val="00431AC2"/>
    <w:rsid w:val="00434451"/>
    <w:rsid w:val="00435E30"/>
    <w:rsid w:val="00436EDD"/>
    <w:rsid w:val="00444A43"/>
    <w:rsid w:val="00446681"/>
    <w:rsid w:val="00447862"/>
    <w:rsid w:val="0045044F"/>
    <w:rsid w:val="00456D38"/>
    <w:rsid w:val="0046448D"/>
    <w:rsid w:val="004701B3"/>
    <w:rsid w:val="00475A37"/>
    <w:rsid w:val="004838C1"/>
    <w:rsid w:val="004A0DE2"/>
    <w:rsid w:val="004B1286"/>
    <w:rsid w:val="004B46F2"/>
    <w:rsid w:val="004C3FB1"/>
    <w:rsid w:val="004E01DB"/>
    <w:rsid w:val="004F0028"/>
    <w:rsid w:val="00503B16"/>
    <w:rsid w:val="00510659"/>
    <w:rsid w:val="00510EAA"/>
    <w:rsid w:val="00511CCF"/>
    <w:rsid w:val="00512737"/>
    <w:rsid w:val="00513D93"/>
    <w:rsid w:val="00520158"/>
    <w:rsid w:val="0053069C"/>
    <w:rsid w:val="0053137A"/>
    <w:rsid w:val="00553369"/>
    <w:rsid w:val="00560962"/>
    <w:rsid w:val="005619EF"/>
    <w:rsid w:val="0056204A"/>
    <w:rsid w:val="00564D37"/>
    <w:rsid w:val="00574055"/>
    <w:rsid w:val="0057539F"/>
    <w:rsid w:val="00582C3A"/>
    <w:rsid w:val="005877E4"/>
    <w:rsid w:val="00592B42"/>
    <w:rsid w:val="005975E7"/>
    <w:rsid w:val="005A1530"/>
    <w:rsid w:val="005A63F0"/>
    <w:rsid w:val="005A69F0"/>
    <w:rsid w:val="005B15D7"/>
    <w:rsid w:val="005B1E13"/>
    <w:rsid w:val="005B3F63"/>
    <w:rsid w:val="005B5B0C"/>
    <w:rsid w:val="005C1425"/>
    <w:rsid w:val="005E37FF"/>
    <w:rsid w:val="005F1EC7"/>
    <w:rsid w:val="00611489"/>
    <w:rsid w:val="0061450E"/>
    <w:rsid w:val="00615270"/>
    <w:rsid w:val="0062649C"/>
    <w:rsid w:val="006305CD"/>
    <w:rsid w:val="006407E5"/>
    <w:rsid w:val="0065051D"/>
    <w:rsid w:val="00662147"/>
    <w:rsid w:val="00664909"/>
    <w:rsid w:val="00665B83"/>
    <w:rsid w:val="0066681C"/>
    <w:rsid w:val="00672C29"/>
    <w:rsid w:val="00680A94"/>
    <w:rsid w:val="00682268"/>
    <w:rsid w:val="00690833"/>
    <w:rsid w:val="006943C3"/>
    <w:rsid w:val="00697EE8"/>
    <w:rsid w:val="006A2D9C"/>
    <w:rsid w:val="006B0697"/>
    <w:rsid w:val="006B2517"/>
    <w:rsid w:val="006C7ED2"/>
    <w:rsid w:val="006D05D6"/>
    <w:rsid w:val="006D206D"/>
    <w:rsid w:val="006D4460"/>
    <w:rsid w:val="006D4D65"/>
    <w:rsid w:val="006D7F4D"/>
    <w:rsid w:val="006E0B0F"/>
    <w:rsid w:val="006F1DF3"/>
    <w:rsid w:val="006F4693"/>
    <w:rsid w:val="00700652"/>
    <w:rsid w:val="00702DDE"/>
    <w:rsid w:val="0071293E"/>
    <w:rsid w:val="00731E19"/>
    <w:rsid w:val="00737DE5"/>
    <w:rsid w:val="00742DD2"/>
    <w:rsid w:val="00743CE3"/>
    <w:rsid w:val="00751748"/>
    <w:rsid w:val="00756150"/>
    <w:rsid w:val="00757E09"/>
    <w:rsid w:val="00761106"/>
    <w:rsid w:val="00765F14"/>
    <w:rsid w:val="00770594"/>
    <w:rsid w:val="007779F0"/>
    <w:rsid w:val="00786D26"/>
    <w:rsid w:val="00790421"/>
    <w:rsid w:val="00792078"/>
    <w:rsid w:val="00792441"/>
    <w:rsid w:val="00796C5A"/>
    <w:rsid w:val="007970A7"/>
    <w:rsid w:val="007A48F8"/>
    <w:rsid w:val="007A4EE4"/>
    <w:rsid w:val="007A5CE7"/>
    <w:rsid w:val="007A6AD7"/>
    <w:rsid w:val="007B08FC"/>
    <w:rsid w:val="007B32AD"/>
    <w:rsid w:val="007B5DF3"/>
    <w:rsid w:val="007C7E30"/>
    <w:rsid w:val="007D0FE5"/>
    <w:rsid w:val="007D4BB4"/>
    <w:rsid w:val="007E0CFC"/>
    <w:rsid w:val="007F0533"/>
    <w:rsid w:val="007F313E"/>
    <w:rsid w:val="007F6FD7"/>
    <w:rsid w:val="00803F7D"/>
    <w:rsid w:val="008078AE"/>
    <w:rsid w:val="00812484"/>
    <w:rsid w:val="00820504"/>
    <w:rsid w:val="00824049"/>
    <w:rsid w:val="0082565E"/>
    <w:rsid w:val="008267AF"/>
    <w:rsid w:val="00831C97"/>
    <w:rsid w:val="00834D33"/>
    <w:rsid w:val="00842C17"/>
    <w:rsid w:val="0084381F"/>
    <w:rsid w:val="00843ADA"/>
    <w:rsid w:val="0087278F"/>
    <w:rsid w:val="00875267"/>
    <w:rsid w:val="008773BC"/>
    <w:rsid w:val="00890152"/>
    <w:rsid w:val="00890E02"/>
    <w:rsid w:val="008A228B"/>
    <w:rsid w:val="008A39A9"/>
    <w:rsid w:val="008B02DB"/>
    <w:rsid w:val="008C3A6F"/>
    <w:rsid w:val="008C5C91"/>
    <w:rsid w:val="008C67C7"/>
    <w:rsid w:val="008C6BFE"/>
    <w:rsid w:val="008C7524"/>
    <w:rsid w:val="008D0CAC"/>
    <w:rsid w:val="008D5C19"/>
    <w:rsid w:val="008D6627"/>
    <w:rsid w:val="008D6F30"/>
    <w:rsid w:val="008E4247"/>
    <w:rsid w:val="008F56F8"/>
    <w:rsid w:val="009023EC"/>
    <w:rsid w:val="00906CE0"/>
    <w:rsid w:val="00910EDC"/>
    <w:rsid w:val="00912908"/>
    <w:rsid w:val="00931CDB"/>
    <w:rsid w:val="009403F2"/>
    <w:rsid w:val="0094048B"/>
    <w:rsid w:val="00946DE9"/>
    <w:rsid w:val="009541B4"/>
    <w:rsid w:val="0095437F"/>
    <w:rsid w:val="009568BC"/>
    <w:rsid w:val="00957D68"/>
    <w:rsid w:val="00975869"/>
    <w:rsid w:val="00976B34"/>
    <w:rsid w:val="00976FD4"/>
    <w:rsid w:val="0097793A"/>
    <w:rsid w:val="009845D4"/>
    <w:rsid w:val="00992498"/>
    <w:rsid w:val="009A21AE"/>
    <w:rsid w:val="009A24AB"/>
    <w:rsid w:val="009B1485"/>
    <w:rsid w:val="009B39FC"/>
    <w:rsid w:val="009B3B24"/>
    <w:rsid w:val="009C52D6"/>
    <w:rsid w:val="009D194A"/>
    <w:rsid w:val="009D6671"/>
    <w:rsid w:val="009E33B5"/>
    <w:rsid w:val="009F1484"/>
    <w:rsid w:val="00A11E5C"/>
    <w:rsid w:val="00A16F47"/>
    <w:rsid w:val="00A17E04"/>
    <w:rsid w:val="00A20D72"/>
    <w:rsid w:val="00A21143"/>
    <w:rsid w:val="00A25783"/>
    <w:rsid w:val="00A36F53"/>
    <w:rsid w:val="00A44309"/>
    <w:rsid w:val="00A50EFE"/>
    <w:rsid w:val="00A51CE7"/>
    <w:rsid w:val="00A545BD"/>
    <w:rsid w:val="00A56366"/>
    <w:rsid w:val="00A727CD"/>
    <w:rsid w:val="00A77964"/>
    <w:rsid w:val="00A80E24"/>
    <w:rsid w:val="00A83423"/>
    <w:rsid w:val="00A84EED"/>
    <w:rsid w:val="00A8591F"/>
    <w:rsid w:val="00AA1AF7"/>
    <w:rsid w:val="00AA4B83"/>
    <w:rsid w:val="00AA56C8"/>
    <w:rsid w:val="00AA7D89"/>
    <w:rsid w:val="00AB191D"/>
    <w:rsid w:val="00AB6948"/>
    <w:rsid w:val="00AB734D"/>
    <w:rsid w:val="00AB7BA2"/>
    <w:rsid w:val="00AC17E3"/>
    <w:rsid w:val="00AC5B39"/>
    <w:rsid w:val="00AC6664"/>
    <w:rsid w:val="00AC6B44"/>
    <w:rsid w:val="00AD4646"/>
    <w:rsid w:val="00AE6A62"/>
    <w:rsid w:val="00AE74D7"/>
    <w:rsid w:val="00AF0CF9"/>
    <w:rsid w:val="00AF6720"/>
    <w:rsid w:val="00B03F9D"/>
    <w:rsid w:val="00B1353F"/>
    <w:rsid w:val="00B269C8"/>
    <w:rsid w:val="00B40330"/>
    <w:rsid w:val="00B4036C"/>
    <w:rsid w:val="00B46AA6"/>
    <w:rsid w:val="00B558E7"/>
    <w:rsid w:val="00B56D14"/>
    <w:rsid w:val="00B57A1D"/>
    <w:rsid w:val="00B623D7"/>
    <w:rsid w:val="00B63F2A"/>
    <w:rsid w:val="00B672BB"/>
    <w:rsid w:val="00B7259C"/>
    <w:rsid w:val="00B750A8"/>
    <w:rsid w:val="00B76626"/>
    <w:rsid w:val="00B86FD1"/>
    <w:rsid w:val="00B94B47"/>
    <w:rsid w:val="00B965AB"/>
    <w:rsid w:val="00BA0F7C"/>
    <w:rsid w:val="00BA2D4F"/>
    <w:rsid w:val="00BB07D2"/>
    <w:rsid w:val="00BB39D2"/>
    <w:rsid w:val="00BB3BBC"/>
    <w:rsid w:val="00BB5FEB"/>
    <w:rsid w:val="00BC3D00"/>
    <w:rsid w:val="00BC6653"/>
    <w:rsid w:val="00BC73BC"/>
    <w:rsid w:val="00BD4B67"/>
    <w:rsid w:val="00BD57A0"/>
    <w:rsid w:val="00BD6049"/>
    <w:rsid w:val="00BE4685"/>
    <w:rsid w:val="00BF41E7"/>
    <w:rsid w:val="00BF4836"/>
    <w:rsid w:val="00BF74B7"/>
    <w:rsid w:val="00C01F52"/>
    <w:rsid w:val="00C0475D"/>
    <w:rsid w:val="00C079C1"/>
    <w:rsid w:val="00C105F3"/>
    <w:rsid w:val="00C13E15"/>
    <w:rsid w:val="00C146E2"/>
    <w:rsid w:val="00C152D3"/>
    <w:rsid w:val="00C173BB"/>
    <w:rsid w:val="00C332C1"/>
    <w:rsid w:val="00C44E59"/>
    <w:rsid w:val="00C5452D"/>
    <w:rsid w:val="00C64CAD"/>
    <w:rsid w:val="00C6698A"/>
    <w:rsid w:val="00C705EE"/>
    <w:rsid w:val="00C772D5"/>
    <w:rsid w:val="00C81FDE"/>
    <w:rsid w:val="00C859EF"/>
    <w:rsid w:val="00C97CE6"/>
    <w:rsid w:val="00CA058B"/>
    <w:rsid w:val="00CA4A18"/>
    <w:rsid w:val="00CA7509"/>
    <w:rsid w:val="00CA7C42"/>
    <w:rsid w:val="00CB389A"/>
    <w:rsid w:val="00CC0570"/>
    <w:rsid w:val="00CD793F"/>
    <w:rsid w:val="00CE11FC"/>
    <w:rsid w:val="00CE1FDD"/>
    <w:rsid w:val="00CE6C43"/>
    <w:rsid w:val="00CF025D"/>
    <w:rsid w:val="00CF1953"/>
    <w:rsid w:val="00CF2B4B"/>
    <w:rsid w:val="00CF38E4"/>
    <w:rsid w:val="00CF3B1C"/>
    <w:rsid w:val="00CF551B"/>
    <w:rsid w:val="00CF7099"/>
    <w:rsid w:val="00CF7A71"/>
    <w:rsid w:val="00D0538A"/>
    <w:rsid w:val="00D16C96"/>
    <w:rsid w:val="00D171FD"/>
    <w:rsid w:val="00D20081"/>
    <w:rsid w:val="00D26F7C"/>
    <w:rsid w:val="00D33E4D"/>
    <w:rsid w:val="00D40627"/>
    <w:rsid w:val="00D42A1A"/>
    <w:rsid w:val="00D50599"/>
    <w:rsid w:val="00D54547"/>
    <w:rsid w:val="00D57051"/>
    <w:rsid w:val="00D61BBD"/>
    <w:rsid w:val="00D64BE4"/>
    <w:rsid w:val="00D706F4"/>
    <w:rsid w:val="00D735DF"/>
    <w:rsid w:val="00D74FE2"/>
    <w:rsid w:val="00D77931"/>
    <w:rsid w:val="00D82F2F"/>
    <w:rsid w:val="00D850E6"/>
    <w:rsid w:val="00D87760"/>
    <w:rsid w:val="00D96A93"/>
    <w:rsid w:val="00DA0F7D"/>
    <w:rsid w:val="00DC2ACB"/>
    <w:rsid w:val="00DC585A"/>
    <w:rsid w:val="00DD0711"/>
    <w:rsid w:val="00DD4709"/>
    <w:rsid w:val="00DD75ED"/>
    <w:rsid w:val="00DE2DB8"/>
    <w:rsid w:val="00DE3A1D"/>
    <w:rsid w:val="00DF0DF3"/>
    <w:rsid w:val="00DF2AAA"/>
    <w:rsid w:val="00DF2B4E"/>
    <w:rsid w:val="00DF5B0D"/>
    <w:rsid w:val="00DF6A97"/>
    <w:rsid w:val="00E1021B"/>
    <w:rsid w:val="00E2107D"/>
    <w:rsid w:val="00E256C8"/>
    <w:rsid w:val="00E337FB"/>
    <w:rsid w:val="00E36AD8"/>
    <w:rsid w:val="00E4131C"/>
    <w:rsid w:val="00E41AA1"/>
    <w:rsid w:val="00E52FB7"/>
    <w:rsid w:val="00E5604F"/>
    <w:rsid w:val="00E63746"/>
    <w:rsid w:val="00E63E84"/>
    <w:rsid w:val="00E66192"/>
    <w:rsid w:val="00E7323F"/>
    <w:rsid w:val="00E854C0"/>
    <w:rsid w:val="00E96005"/>
    <w:rsid w:val="00EA3423"/>
    <w:rsid w:val="00EA57E2"/>
    <w:rsid w:val="00EA62F1"/>
    <w:rsid w:val="00EB3D48"/>
    <w:rsid w:val="00EB6FE2"/>
    <w:rsid w:val="00EC3C03"/>
    <w:rsid w:val="00EC5A0A"/>
    <w:rsid w:val="00EC6A52"/>
    <w:rsid w:val="00EC7395"/>
    <w:rsid w:val="00ED5249"/>
    <w:rsid w:val="00EE2772"/>
    <w:rsid w:val="00EE577B"/>
    <w:rsid w:val="00EE5839"/>
    <w:rsid w:val="00F036AD"/>
    <w:rsid w:val="00F064DE"/>
    <w:rsid w:val="00F116CE"/>
    <w:rsid w:val="00F20159"/>
    <w:rsid w:val="00F21896"/>
    <w:rsid w:val="00F21954"/>
    <w:rsid w:val="00F24082"/>
    <w:rsid w:val="00F27DD2"/>
    <w:rsid w:val="00F3056F"/>
    <w:rsid w:val="00F37CCE"/>
    <w:rsid w:val="00F4597C"/>
    <w:rsid w:val="00F607C9"/>
    <w:rsid w:val="00F641D3"/>
    <w:rsid w:val="00F75C5E"/>
    <w:rsid w:val="00F87A5F"/>
    <w:rsid w:val="00F90DFD"/>
    <w:rsid w:val="00F967F0"/>
    <w:rsid w:val="00F969AC"/>
    <w:rsid w:val="00FA6371"/>
    <w:rsid w:val="00FA68DA"/>
    <w:rsid w:val="00FA6B8A"/>
    <w:rsid w:val="00FB1A65"/>
    <w:rsid w:val="00FC7A26"/>
    <w:rsid w:val="00FD4841"/>
    <w:rsid w:val="00FD6622"/>
    <w:rsid w:val="00FE55CB"/>
    <w:rsid w:val="00FE65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12F2B"/>
  <w15:docId w15:val="{BF77F3D7-0028-486C-833D-A8877B09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7E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19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3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036C"/>
  </w:style>
  <w:style w:type="paragraph" w:styleId="Footer">
    <w:name w:val="footer"/>
    <w:basedOn w:val="Normal"/>
    <w:link w:val="FooterChar"/>
    <w:uiPriority w:val="99"/>
    <w:unhideWhenUsed/>
    <w:rsid w:val="00B403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036C"/>
  </w:style>
  <w:style w:type="paragraph" w:styleId="ListParagraph">
    <w:name w:val="List Paragraph"/>
    <w:basedOn w:val="Normal"/>
    <w:uiPriority w:val="34"/>
    <w:qFormat/>
    <w:rsid w:val="004F0028"/>
    <w:pPr>
      <w:ind w:left="720"/>
      <w:contextualSpacing/>
    </w:pPr>
  </w:style>
  <w:style w:type="character" w:customStyle="1" w:styleId="Heading1Char">
    <w:name w:val="Heading 1 Char"/>
    <w:basedOn w:val="DefaultParagraphFont"/>
    <w:link w:val="Heading1"/>
    <w:uiPriority w:val="9"/>
    <w:rsid w:val="007C7E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F195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153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F1BF8-97AF-4000-B0CC-6D9D19BF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BUGAULT</dc:creator>
  <cp:keywords/>
  <dc:description/>
  <cp:lastModifiedBy>Robert</cp:lastModifiedBy>
  <cp:revision>2</cp:revision>
  <cp:lastPrinted>2020-12-24T08:04:00Z</cp:lastPrinted>
  <dcterms:created xsi:type="dcterms:W3CDTF">2020-12-25T13:07:00Z</dcterms:created>
  <dcterms:modified xsi:type="dcterms:W3CDTF">2020-12-25T13:07:00Z</dcterms:modified>
</cp:coreProperties>
</file>