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68" w:rsidRPr="000B2068" w:rsidRDefault="006A02AA" w:rsidP="00A102CE">
      <w:pPr>
        <w:spacing w:after="120" w:line="240" w:lineRule="auto"/>
        <w:rPr>
          <w:b/>
          <w:bCs/>
          <w:u w:val="single"/>
        </w:rPr>
      </w:pPr>
      <w:r>
        <w:rPr>
          <w:b/>
          <w:bCs/>
          <w:u w:val="single"/>
        </w:rPr>
        <w:t xml:space="preserve">2014 </w:t>
      </w:r>
      <w:r w:rsidR="000B2068" w:rsidRPr="000B2068">
        <w:rPr>
          <w:b/>
          <w:bCs/>
          <w:u w:val="single"/>
        </w:rPr>
        <w:t>Research Proposal</w:t>
      </w:r>
      <w:r w:rsidR="005E4B9D">
        <w:rPr>
          <w:b/>
          <w:bCs/>
          <w:u w:val="single"/>
        </w:rPr>
        <w:t xml:space="preserve"> – </w:t>
      </w:r>
      <w:r w:rsidR="009A6AE1">
        <w:rPr>
          <w:b/>
          <w:bCs/>
          <w:u w:val="single"/>
        </w:rPr>
        <w:t>Political Science</w:t>
      </w:r>
    </w:p>
    <w:p w:rsidR="005E4B9D" w:rsidRDefault="005E4B9D" w:rsidP="00A102CE">
      <w:pPr>
        <w:spacing w:after="120" w:line="240" w:lineRule="auto"/>
        <w:rPr>
          <w:b/>
          <w:bCs/>
        </w:rPr>
      </w:pPr>
      <w:r>
        <w:rPr>
          <w:b/>
          <w:bCs/>
        </w:rPr>
        <w:t>Multi-Disciplinary Evidence-Based Sustainable Hybrid Public Governance Norms &amp; Methods</w:t>
      </w:r>
    </w:p>
    <w:p w:rsidR="00A55D83" w:rsidRDefault="00A55D83" w:rsidP="00A55D83">
      <w:pPr>
        <w:spacing w:after="120" w:line="240" w:lineRule="auto"/>
        <w:rPr>
          <w:b/>
          <w:bCs/>
          <w:i/>
        </w:rPr>
      </w:pPr>
      <w:r w:rsidRPr="00117841">
        <w:rPr>
          <w:b/>
          <w:bCs/>
          <w:i/>
        </w:rPr>
        <w:t>Introduction</w:t>
      </w:r>
    </w:p>
    <w:p w:rsidR="00A102CE" w:rsidRDefault="00A55D83" w:rsidP="00A102CE">
      <w:pPr>
        <w:spacing w:after="120" w:line="240" w:lineRule="auto"/>
        <w:rPr>
          <w:bCs/>
        </w:rPr>
      </w:pPr>
      <w:r w:rsidRPr="00ED294F">
        <w:rPr>
          <w:rFonts w:eastAsia="Times New Roman" w:cs="Times New Roman"/>
        </w:rPr>
        <w:t xml:space="preserve">Political Science is the study of governance, and has up to this point been largely a passive observer </w:t>
      </w:r>
      <w:r>
        <w:rPr>
          <w:rFonts w:eastAsia="Times New Roman" w:cs="Times New Roman"/>
        </w:rPr>
        <w:t>of</w:t>
      </w:r>
      <w:r w:rsidRPr="00ED294F">
        <w:rPr>
          <w:rFonts w:eastAsia="Times New Roman" w:cs="Times New Roman"/>
        </w:rPr>
        <w:t xml:space="preserve"> the process. </w:t>
      </w:r>
      <w:r>
        <w:rPr>
          <w:rFonts w:eastAsia="Times New Roman" w:cs="Times New Roman"/>
        </w:rPr>
        <w:t>Despite the enormous foresight of some individual political scientists – Richard Falk and Edgar Morin come to mind – P</w:t>
      </w:r>
      <w:r w:rsidRPr="00ED294F">
        <w:rPr>
          <w:rFonts w:eastAsia="Times New Roman" w:cs="Times New Roman"/>
        </w:rPr>
        <w:t xml:space="preserve">olitical Science as </w:t>
      </w:r>
      <w:r>
        <w:rPr>
          <w:rFonts w:eastAsia="Times New Roman" w:cs="Times New Roman"/>
        </w:rPr>
        <w:t>a discipline (</w:t>
      </w:r>
      <w:r w:rsidRPr="00ED294F">
        <w:rPr>
          <w:rFonts w:eastAsia="Times New Roman" w:cs="Times New Roman"/>
        </w:rPr>
        <w:t>an element of the humanities</w:t>
      </w:r>
      <w:r>
        <w:rPr>
          <w:rFonts w:eastAsia="Times New Roman" w:cs="Times New Roman"/>
        </w:rPr>
        <w:t>)</w:t>
      </w:r>
      <w:r w:rsidRPr="00ED294F">
        <w:rPr>
          <w:rFonts w:eastAsia="Times New Roman" w:cs="Times New Roman"/>
        </w:rPr>
        <w:t xml:space="preserve"> has been slow to recognize emerging threats, challenges, and processes of change</w:t>
      </w:r>
      <w:r>
        <w:rPr>
          <w:rFonts w:eastAsia="Times New Roman" w:cs="Times New Roman"/>
        </w:rPr>
        <w:t xml:space="preserve"> at the same time that the Sciences have advanced in often dangerous directions with great costs to society and the Earth. Political Science has done little to help the public understand, mobilize, and engage</w:t>
      </w:r>
      <w:r w:rsidRPr="00ED294F">
        <w:rPr>
          <w:rFonts w:eastAsia="Times New Roman" w:cs="Times New Roman"/>
        </w:rPr>
        <w:t>.</w:t>
      </w:r>
      <w:r>
        <w:rPr>
          <w:rFonts w:eastAsia="Times New Roman" w:cs="Times New Roman"/>
        </w:rPr>
        <w:t xml:space="preserve"> Below I summarize the context as I have derived it from reading in </w:t>
      </w:r>
      <w:hyperlink r:id="rId8" w:history="1">
        <w:r w:rsidRPr="003F4192">
          <w:rPr>
            <w:rStyle w:val="Hyperlink"/>
            <w:rFonts w:eastAsia="Times New Roman" w:cs="Times New Roman"/>
          </w:rPr>
          <w:t>98 categories of non-fiction</w:t>
        </w:r>
      </w:hyperlink>
      <w:r>
        <w:rPr>
          <w:rFonts w:eastAsia="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73"/>
      </w:tblGrid>
      <w:tr w:rsidR="00A55D83" w:rsidTr="00A55D83">
        <w:trPr>
          <w:trHeight w:val="3672"/>
        </w:trPr>
        <w:tc>
          <w:tcPr>
            <w:tcW w:w="4788" w:type="dxa"/>
          </w:tcPr>
          <w:p w:rsidR="00A55D83" w:rsidRDefault="00A55D83" w:rsidP="00A102CE">
            <w:pPr>
              <w:spacing w:after="120"/>
              <w:rPr>
                <w:bCs/>
              </w:rPr>
            </w:pPr>
            <w:r>
              <w:rPr>
                <w:bCs/>
                <w:noProof/>
              </w:rPr>
              <w:drawing>
                <wp:inline distT="0" distB="0" distL="0" distR="0" wp14:anchorId="257640BC" wp14:editId="449E31E8">
                  <wp:extent cx="3002280" cy="22517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s-One-Nega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2610" cy="2259456"/>
                          </a:xfrm>
                          <a:prstGeom prst="rect">
                            <a:avLst/>
                          </a:prstGeom>
                        </pic:spPr>
                      </pic:pic>
                    </a:graphicData>
                  </a:graphic>
                </wp:inline>
              </w:drawing>
            </w:r>
          </w:p>
        </w:tc>
        <w:tc>
          <w:tcPr>
            <w:tcW w:w="4788" w:type="dxa"/>
          </w:tcPr>
          <w:p w:rsidR="00A55D83" w:rsidRDefault="00A55D83" w:rsidP="00A102CE">
            <w:pPr>
              <w:spacing w:after="120"/>
              <w:rPr>
                <w:bCs/>
              </w:rPr>
            </w:pPr>
            <w:r>
              <w:rPr>
                <w:bCs/>
                <w:noProof/>
              </w:rPr>
              <w:drawing>
                <wp:inline distT="0" distB="0" distL="0" distR="0" wp14:anchorId="03ED614F" wp14:editId="44BAC6E0">
                  <wp:extent cx="2987040" cy="224028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s-Two-Posi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1971" cy="2243980"/>
                          </a:xfrm>
                          <a:prstGeom prst="rect">
                            <a:avLst/>
                          </a:prstGeom>
                        </pic:spPr>
                      </pic:pic>
                    </a:graphicData>
                  </a:graphic>
                </wp:inline>
              </w:drawing>
            </w:r>
          </w:p>
        </w:tc>
      </w:tr>
    </w:tbl>
    <w:p w:rsidR="00AD6FA4" w:rsidRDefault="00AD6FA4" w:rsidP="00A102CE">
      <w:pPr>
        <w:spacing w:after="120" w:line="240" w:lineRule="auto"/>
        <w:rPr>
          <w:bCs/>
        </w:rPr>
      </w:pPr>
      <w:r>
        <w:rPr>
          <w:bCs/>
        </w:rPr>
        <w:t xml:space="preserve">Below are illustrated the present state of the scientific disciplines – the </w:t>
      </w:r>
      <w:r w:rsidR="00F65B9D">
        <w:rPr>
          <w:bCs/>
        </w:rPr>
        <w:t>humanities are in</w:t>
      </w:r>
      <w:r>
        <w:rPr>
          <w:bCs/>
        </w:rPr>
        <w:t xml:space="preserve"> worse shape – and my preliminary design for a new integrative approach to governance and understanding.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604"/>
      </w:tblGrid>
      <w:tr w:rsidR="00AD6FA4" w:rsidTr="00A55D83">
        <w:trPr>
          <w:trHeight w:val="4599"/>
          <w:jc w:val="center"/>
        </w:trPr>
        <w:tc>
          <w:tcPr>
            <w:tcW w:w="4972" w:type="dxa"/>
          </w:tcPr>
          <w:p w:rsidR="00AD6FA4" w:rsidRDefault="00AD6FA4" w:rsidP="00A102CE">
            <w:pPr>
              <w:spacing w:after="120"/>
              <w:rPr>
                <w:bCs/>
              </w:rPr>
            </w:pPr>
            <w:r w:rsidRPr="00E17953">
              <w:rPr>
                <w:bCs/>
                <w:noProof/>
              </w:rPr>
              <mc:AlternateContent>
                <mc:Choice Requires="wps">
                  <w:drawing>
                    <wp:anchor distT="0" distB="0" distL="114300" distR="114300" simplePos="0" relativeHeight="251659264" behindDoc="0" locked="0" layoutInCell="1" allowOverlap="1" wp14:anchorId="4DBD21A4" wp14:editId="6BC07DE5">
                      <wp:simplePos x="0" y="0"/>
                      <wp:positionH relativeFrom="column">
                        <wp:posOffset>-22860</wp:posOffset>
                      </wp:positionH>
                      <wp:positionV relativeFrom="paragraph">
                        <wp:posOffset>2244725</wp:posOffset>
                      </wp:positionV>
                      <wp:extent cx="31851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3985"/>
                              </a:xfrm>
                              <a:prstGeom prst="rect">
                                <a:avLst/>
                              </a:prstGeom>
                              <a:solidFill>
                                <a:srgbClr val="FFFFFF"/>
                              </a:solidFill>
                              <a:ln w="9525">
                                <a:noFill/>
                                <a:miter lim="800000"/>
                                <a:headEnd/>
                                <a:tailEnd/>
                              </a:ln>
                            </wps:spPr>
                            <wps:txbx>
                              <w:txbxContent>
                                <w:p w:rsidR="00AD6FA4" w:rsidRPr="00117841" w:rsidRDefault="00AD6FA4" w:rsidP="00AD6FA4">
                                  <w:pPr>
                                    <w:spacing w:after="0" w:line="240" w:lineRule="auto"/>
                                    <w:rPr>
                                      <w:i/>
                                      <w:sz w:val="18"/>
                                      <w:szCs w:val="18"/>
                                    </w:rPr>
                                  </w:pPr>
                                  <w:r w:rsidRPr="00117841">
                                    <w:rPr>
                                      <w:i/>
                                      <w:sz w:val="18"/>
                                      <w:szCs w:val="18"/>
                                    </w:rPr>
                                    <w:t>The above diagram is from Dick Klavans, founder of Maps of Science. It is based on comprehensive citation analysis across all disciplines. The diagram to the right is my original creation.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76.75pt;width:25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TOIgIAAB4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" stroked="f">
                      <v:textbox style="mso-fit-shape-to-text:t">
                        <w:txbxContent>
                          <w:p w:rsidR="00AD6FA4" w:rsidRPr="00117841" w:rsidRDefault="00AD6FA4" w:rsidP="00AD6FA4">
                            <w:pPr>
                              <w:spacing w:after="0" w:line="240" w:lineRule="auto"/>
                              <w:rPr>
                                <w:i/>
                                <w:sz w:val="18"/>
                                <w:szCs w:val="18"/>
                              </w:rPr>
                            </w:pPr>
                            <w:r w:rsidRPr="00117841">
                              <w:rPr>
                                <w:i/>
                                <w:sz w:val="18"/>
                                <w:szCs w:val="18"/>
                              </w:rPr>
                              <w:t>The above diagram is from Dick Klavans, founder of Maps of Science. It is based on comprehensive citation analysis across all disciplines. The diagram to the right is my original creation.</w:t>
                            </w:r>
                          </w:p>
                        </w:txbxContent>
                      </v:textbox>
                    </v:shape>
                  </w:pict>
                </mc:Fallback>
              </mc:AlternateContent>
            </w:r>
            <w:r>
              <w:rPr>
                <w:bCs/>
                <w:noProof/>
              </w:rPr>
              <w:drawing>
                <wp:inline distT="0" distB="0" distL="0" distR="0" wp14:anchorId="52AABAEB" wp14:editId="7AD1A59B">
                  <wp:extent cx="2841509" cy="224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mentation of Paradigms of Knowle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596" cy="2251852"/>
                          </a:xfrm>
                          <a:prstGeom prst="rect">
                            <a:avLst/>
                          </a:prstGeom>
                        </pic:spPr>
                      </pic:pic>
                    </a:graphicData>
                  </a:graphic>
                </wp:inline>
              </w:drawing>
            </w:r>
          </w:p>
        </w:tc>
        <w:tc>
          <w:tcPr>
            <w:tcW w:w="4604" w:type="dxa"/>
          </w:tcPr>
          <w:p w:rsidR="00AD6FA4" w:rsidRDefault="00AD6FA4" w:rsidP="00A102CE">
            <w:pPr>
              <w:spacing w:after="120"/>
              <w:rPr>
                <w:bCs/>
              </w:rPr>
            </w:pPr>
            <w:r>
              <w:rPr>
                <w:bCs/>
                <w:noProof/>
              </w:rPr>
              <w:drawing>
                <wp:inline distT="0" distB="0" distL="0" distR="0" wp14:anchorId="57CB1C26" wp14:editId="2603CCED">
                  <wp:extent cx="2621280" cy="26212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Method Logo 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1280" cy="2621280"/>
                          </a:xfrm>
                          <a:prstGeom prst="rect">
                            <a:avLst/>
                          </a:prstGeom>
                        </pic:spPr>
                      </pic:pic>
                    </a:graphicData>
                  </a:graphic>
                </wp:inline>
              </w:drawing>
            </w:r>
          </w:p>
        </w:tc>
      </w:tr>
    </w:tbl>
    <w:p w:rsidR="00025A7D" w:rsidRPr="00025A7D" w:rsidRDefault="009A6AE1" w:rsidP="00A102CE">
      <w:pPr>
        <w:spacing w:after="120" w:line="240" w:lineRule="auto"/>
        <w:rPr>
          <w:rFonts w:eastAsia="Times New Roman" w:cs="Times New Roman"/>
        </w:rPr>
      </w:pPr>
      <w:r w:rsidRPr="00025A7D">
        <w:rPr>
          <w:rFonts w:eastAsia="Times New Roman" w:cs="Times New Roman"/>
          <w:i/>
        </w:rPr>
        <w:t>In my view, the time has come for Political Science to become a normative discipline</w:t>
      </w:r>
      <w:r w:rsidR="00025A7D">
        <w:rPr>
          <w:rFonts w:eastAsia="Times New Roman" w:cs="Times New Roman"/>
          <w:i/>
        </w:rPr>
        <w:t xml:space="preserve"> that </w:t>
      </w:r>
      <w:r w:rsidR="00AD6FA4">
        <w:rPr>
          <w:rFonts w:eastAsia="Times New Roman" w:cs="Times New Roman"/>
          <w:i/>
        </w:rPr>
        <w:t>is the proponent for both</w:t>
      </w:r>
      <w:r w:rsidR="00025A7D">
        <w:rPr>
          <w:rFonts w:eastAsia="Times New Roman" w:cs="Times New Roman"/>
          <w:i/>
        </w:rPr>
        <w:t xml:space="preserve"> Multinational, Multiagency, Multidisciplinary, Multidomain Information-Sharing and Sense-Making (the human solution) </w:t>
      </w:r>
      <w:r w:rsidR="00AD6FA4">
        <w:rPr>
          <w:rFonts w:eastAsia="Times New Roman" w:cs="Times New Roman"/>
          <w:i/>
        </w:rPr>
        <w:t xml:space="preserve">and </w:t>
      </w:r>
      <w:r w:rsidR="00025A7D">
        <w:rPr>
          <w:rFonts w:eastAsia="Times New Roman" w:cs="Times New Roman"/>
          <w:i/>
        </w:rPr>
        <w:t xml:space="preserve">the </w:t>
      </w:r>
      <w:r w:rsidR="00AD6FA4">
        <w:rPr>
          <w:rFonts w:eastAsia="Times New Roman" w:cs="Times New Roman"/>
          <w:i/>
        </w:rPr>
        <w:t>adoption of</w:t>
      </w:r>
      <w:r w:rsidR="00025A7D">
        <w:rPr>
          <w:rFonts w:eastAsia="Times New Roman" w:cs="Times New Roman"/>
          <w:i/>
        </w:rPr>
        <w:t xml:space="preserve"> Open Source Everything (the technical solution)</w:t>
      </w:r>
      <w:r w:rsidRPr="00025A7D">
        <w:rPr>
          <w:rFonts w:eastAsia="Times New Roman" w:cs="Times New Roman"/>
          <w:i/>
        </w:rPr>
        <w:t>.</w:t>
      </w:r>
      <w:r w:rsidRPr="00025A7D">
        <w:rPr>
          <w:rFonts w:eastAsia="Times New Roman" w:cs="Times New Roman"/>
        </w:rPr>
        <w:t xml:space="preserve"> </w:t>
      </w:r>
    </w:p>
    <w:p w:rsidR="00A102CE" w:rsidRDefault="00A102CE" w:rsidP="00A102CE">
      <w:pPr>
        <w:spacing w:after="120" w:line="240" w:lineRule="auto"/>
        <w:rPr>
          <w:rFonts w:eastAsia="Times New Roman" w:cs="Times New Roman"/>
        </w:rPr>
      </w:pPr>
      <w:r>
        <w:rPr>
          <w:rFonts w:eastAsia="Times New Roman" w:cs="Times New Roman"/>
        </w:rPr>
        <w:lastRenderedPageBreak/>
        <w:t>Th</w:t>
      </w:r>
      <w:r w:rsidR="004C26B5">
        <w:rPr>
          <w:rFonts w:eastAsia="Times New Roman" w:cs="Times New Roman"/>
        </w:rPr>
        <w:t>is</w:t>
      </w:r>
      <w:r>
        <w:rPr>
          <w:rFonts w:eastAsia="Times New Roman" w:cs="Times New Roman"/>
        </w:rPr>
        <w:t xml:space="preserve"> PhD research proposal is tentatively centered on technopolitics or digital activism, striving to study, design, test, and then promulgate a theory and practice of grassroot</w:t>
      </w:r>
      <w:r w:rsidR="00A55D83">
        <w:rPr>
          <w:rFonts w:eastAsia="Times New Roman" w:cs="Times New Roman"/>
        </w:rPr>
        <w:t>s</w:t>
      </w:r>
      <w:r>
        <w:rPr>
          <w:rFonts w:eastAsia="Times New Roman" w:cs="Times New Roman"/>
        </w:rPr>
        <w:t xml:space="preserve"> multi-stakeholder decision-</w:t>
      </w:r>
      <w:r w:rsidR="00FF6C4D">
        <w:rPr>
          <w:rFonts w:eastAsia="Times New Roman" w:cs="Times New Roman"/>
        </w:rPr>
        <w:t>support and decision-making</w:t>
      </w:r>
      <w:r w:rsidR="003F4192">
        <w:rPr>
          <w:rFonts w:eastAsia="Times New Roman" w:cs="Times New Roman"/>
        </w:rPr>
        <w:t xml:space="preserve"> (two completely different processes)</w:t>
      </w:r>
      <w:r w:rsidR="004C26B5">
        <w:rPr>
          <w:rFonts w:eastAsia="Times New Roman" w:cs="Times New Roman"/>
        </w:rPr>
        <w:t>. The intent is to be</w:t>
      </w:r>
      <w:r>
        <w:rPr>
          <w:rFonts w:eastAsia="Times New Roman" w:cs="Times New Roman"/>
        </w:rPr>
        <w:t xml:space="preserve"> relevant t</w:t>
      </w:r>
      <w:r w:rsidR="004C26B5">
        <w:rPr>
          <w:rFonts w:eastAsia="Times New Roman" w:cs="Times New Roman"/>
        </w:rPr>
        <w:t xml:space="preserve">o the five billion poor (i.e. </w:t>
      </w:r>
      <w:r>
        <w:rPr>
          <w:rFonts w:eastAsia="Times New Roman" w:cs="Times New Roman"/>
        </w:rPr>
        <w:t>affordable and accessible to the five billion poor) and combine complete access to all relevant information including true cost economic information, with near-real-time geospatial visualization and other open source information technology tools for thinking.</w:t>
      </w:r>
      <w:r w:rsidR="00155F8A">
        <w:rPr>
          <w:rFonts w:eastAsia="Times New Roman" w:cs="Times New Roman"/>
        </w:rPr>
        <w:t xml:space="preserve"> My starting point is </w:t>
      </w:r>
      <w:r w:rsidR="00155F8A" w:rsidRPr="00155F8A">
        <w:rPr>
          <w:rFonts w:eastAsia="Times New Roman" w:cs="Times New Roman"/>
        </w:rPr>
        <w:t>Robert David Steele, “</w:t>
      </w:r>
      <w:hyperlink r:id="rId13" w:history="1">
        <w:r w:rsidR="00155F8A" w:rsidRPr="00155F8A">
          <w:rPr>
            <w:rStyle w:val="Hyperlink"/>
            <w:rFonts w:eastAsia="Times New Roman" w:cs="Times New Roman"/>
          </w:rPr>
          <w:t>The Evolving Craft of Intelligence</w:t>
        </w:r>
      </w:hyperlink>
      <w:r w:rsidR="00155F8A" w:rsidRPr="00155F8A">
        <w:rPr>
          <w:rFonts w:eastAsia="Times New Roman" w:cs="Times New Roman"/>
        </w:rPr>
        <w:t xml:space="preserve">,” in Robert Dover, Michael Goodman, and Claudia Hillebrand (eds.). </w:t>
      </w:r>
      <w:hyperlink r:id="rId14" w:history="1">
        <w:r w:rsidR="00155F8A" w:rsidRPr="00155F8A">
          <w:rPr>
            <w:rStyle w:val="Hyperlink"/>
            <w:rFonts w:eastAsia="Times New Roman" w:cs="Times New Roman"/>
            <w:i/>
            <w:iCs/>
          </w:rPr>
          <w:t>Routledge</w:t>
        </w:r>
      </w:hyperlink>
      <w:r w:rsidR="00155F8A" w:rsidRPr="00155F8A">
        <w:rPr>
          <w:rFonts w:eastAsia="Times New Roman" w:cs="Times New Roman"/>
        </w:rPr>
        <w:t xml:space="preserve"> </w:t>
      </w:r>
      <w:hyperlink r:id="rId15" w:history="1">
        <w:r w:rsidR="00155F8A" w:rsidRPr="00155F8A">
          <w:rPr>
            <w:rStyle w:val="Hyperlink"/>
            <w:rFonts w:eastAsia="Times New Roman" w:cs="Times New Roman"/>
            <w:i/>
            <w:iCs/>
          </w:rPr>
          <w:t>Companion to Intelligence Studies</w:t>
        </w:r>
      </w:hyperlink>
      <w:r w:rsidR="00155F8A" w:rsidRPr="00155F8A">
        <w:rPr>
          <w:rFonts w:eastAsia="Times New Roman" w:cs="Times New Roman"/>
        </w:rPr>
        <w:t xml:space="preserve"> (Oxford, UK: Routledge, 2013)</w:t>
      </w:r>
      <w:r w:rsidR="00155F8A">
        <w:rPr>
          <w:rFonts w:eastAsia="Times New Roman" w:cs="Times New Roman"/>
        </w:rPr>
        <w:t>.</w:t>
      </w:r>
      <w:r w:rsidR="004C26B5">
        <w:rPr>
          <w:rFonts w:eastAsia="Times New Roman" w:cs="Times New Roman"/>
        </w:rPr>
        <w:t xml:space="preserve"> </w:t>
      </w:r>
    </w:p>
    <w:p w:rsidR="009A6AE1" w:rsidRPr="00ED294F" w:rsidRDefault="009A6AE1" w:rsidP="00A102CE">
      <w:pPr>
        <w:spacing w:after="120" w:line="240" w:lineRule="auto"/>
        <w:rPr>
          <w:rFonts w:eastAsia="Times New Roman" w:cs="Times New Roman"/>
        </w:rPr>
      </w:pPr>
      <w:r w:rsidRPr="00ED294F">
        <w:rPr>
          <w:rFonts w:eastAsia="Times New Roman" w:cs="Times New Roman"/>
        </w:rPr>
        <w:t xml:space="preserve">Three "what if" questions are </w:t>
      </w:r>
      <w:r w:rsidR="004D0DA0">
        <w:rPr>
          <w:rFonts w:eastAsia="Times New Roman" w:cs="Times New Roman"/>
        </w:rPr>
        <w:t xml:space="preserve">proposed for inquiry rooted in a case study </w:t>
      </w:r>
      <w:r w:rsidR="00155F8A">
        <w:rPr>
          <w:rFonts w:eastAsia="Times New Roman" w:cs="Times New Roman"/>
        </w:rPr>
        <w:t>to be determined</w:t>
      </w:r>
      <w:r w:rsidR="004D0DA0">
        <w:rPr>
          <w:rFonts w:eastAsia="Times New Roman" w:cs="Times New Roman"/>
        </w:rPr>
        <w:t>.</w:t>
      </w:r>
    </w:p>
    <w:p w:rsidR="009A6AE1" w:rsidRPr="00ED294F" w:rsidRDefault="009A6AE1" w:rsidP="00A102CE">
      <w:pPr>
        <w:spacing w:after="120" w:line="240" w:lineRule="auto"/>
        <w:rPr>
          <w:rFonts w:eastAsia="Times New Roman" w:cs="Times New Roman"/>
        </w:rPr>
      </w:pPr>
      <w:r w:rsidRPr="00ED294F">
        <w:rPr>
          <w:rFonts w:eastAsia="Times New Roman" w:cs="Times New Roman"/>
          <w:b/>
        </w:rPr>
        <w:t>WHAT IF</w:t>
      </w:r>
      <w:r w:rsidRPr="00ED294F">
        <w:rPr>
          <w:rFonts w:eastAsia="Times New Roman" w:cs="Times New Roman"/>
        </w:rPr>
        <w:t xml:space="preserve"> Political Science were to make the evolving craft of intelligence (decision-support) its central focus, such that a new norm is established in which politics is evaluated in relation to its ability to engage in deep multi-cultural history and holistic analytics that are public in nature and inclusive of all eight tribes of public hybrid governance (academic, civil society, commerce, government, law enforcement, media, military, non-government/non-profit)?</w:t>
      </w:r>
    </w:p>
    <w:p w:rsidR="009A6AE1" w:rsidRPr="00ED294F" w:rsidRDefault="009A6AE1" w:rsidP="00A102CE">
      <w:pPr>
        <w:spacing w:after="120" w:line="240" w:lineRule="auto"/>
        <w:rPr>
          <w:rFonts w:eastAsia="Times New Roman" w:cs="Times New Roman"/>
        </w:rPr>
      </w:pPr>
      <w:r w:rsidRPr="00ED294F">
        <w:rPr>
          <w:rFonts w:eastAsia="Times New Roman" w:cs="Times New Roman"/>
          <w:b/>
        </w:rPr>
        <w:t>WHAT IF</w:t>
      </w:r>
      <w:r w:rsidRPr="00ED294F">
        <w:rPr>
          <w:rFonts w:eastAsia="Times New Roman" w:cs="Times New Roman"/>
        </w:rPr>
        <w:t xml:space="preserve"> Political Science </w:t>
      </w:r>
      <w:r w:rsidR="0075717E">
        <w:rPr>
          <w:rFonts w:eastAsia="Times New Roman" w:cs="Times New Roman"/>
        </w:rPr>
        <w:t>enhanced its</w:t>
      </w:r>
      <w:r w:rsidRPr="00ED294F">
        <w:rPr>
          <w:rFonts w:eastAsia="Times New Roman" w:cs="Times New Roman"/>
        </w:rPr>
        <w:t xml:space="preserve"> scien</w:t>
      </w:r>
      <w:r w:rsidR="0075717E">
        <w:rPr>
          <w:rFonts w:eastAsia="Times New Roman" w:cs="Times New Roman"/>
        </w:rPr>
        <w:t>tific credential</w:t>
      </w:r>
      <w:r w:rsidRPr="00ED294F">
        <w:rPr>
          <w:rFonts w:eastAsia="Times New Roman" w:cs="Times New Roman"/>
        </w:rPr>
        <w:t xml:space="preserve"> by embracing Whole Systems True Cost Economics as a foundational multi-disciplinary science with data indexed geospatially and in time</w:t>
      </w:r>
      <w:r w:rsidR="0075717E">
        <w:rPr>
          <w:rFonts w:eastAsia="Times New Roman" w:cs="Times New Roman"/>
        </w:rPr>
        <w:t xml:space="preserve">? </w:t>
      </w:r>
      <w:r w:rsidR="00937B44">
        <w:rPr>
          <w:rFonts w:eastAsia="Times New Roman" w:cs="Times New Roman"/>
        </w:rPr>
        <w:t>This</w:t>
      </w:r>
      <w:r w:rsidRPr="00ED294F">
        <w:rPr>
          <w:rFonts w:eastAsia="Times New Roman" w:cs="Times New Roman"/>
        </w:rPr>
        <w:t xml:space="preserve"> </w:t>
      </w:r>
      <w:r w:rsidR="0075717E">
        <w:rPr>
          <w:rFonts w:eastAsia="Times New Roman" w:cs="Times New Roman"/>
        </w:rPr>
        <w:t xml:space="preserve">would </w:t>
      </w:r>
      <w:r w:rsidRPr="00ED294F">
        <w:rPr>
          <w:rFonts w:eastAsia="Times New Roman" w:cs="Times New Roman"/>
        </w:rPr>
        <w:t>creat</w:t>
      </w:r>
      <w:r w:rsidR="0075717E">
        <w:rPr>
          <w:rFonts w:eastAsia="Times New Roman" w:cs="Times New Roman"/>
        </w:rPr>
        <w:t>e</w:t>
      </w:r>
      <w:r w:rsidRPr="00ED294F">
        <w:rPr>
          <w:rFonts w:eastAsia="Times New Roman" w:cs="Times New Roman"/>
        </w:rPr>
        <w:t xml:space="preserve"> a more grounded landscape of financial, social, and ecological opportunity and threat -- a basis for being a normative </w:t>
      </w:r>
      <w:r w:rsidR="006764B7" w:rsidRPr="00ED294F">
        <w:rPr>
          <w:rFonts w:eastAsia="Times New Roman" w:cs="Times New Roman"/>
        </w:rPr>
        <w:t>discipline</w:t>
      </w:r>
      <w:r w:rsidRPr="00ED294F">
        <w:rPr>
          <w:rFonts w:eastAsia="Times New Roman" w:cs="Times New Roman"/>
        </w:rPr>
        <w:t>.</w:t>
      </w:r>
    </w:p>
    <w:p w:rsidR="009A6AE1" w:rsidRPr="00ED294F" w:rsidRDefault="009A6AE1" w:rsidP="00A102CE">
      <w:pPr>
        <w:spacing w:after="120" w:line="240" w:lineRule="auto"/>
        <w:rPr>
          <w:rFonts w:eastAsia="Times New Roman" w:cs="Times New Roman"/>
        </w:rPr>
      </w:pPr>
      <w:r w:rsidRPr="00ED294F">
        <w:rPr>
          <w:rFonts w:eastAsia="Times New Roman" w:cs="Times New Roman"/>
          <w:b/>
        </w:rPr>
        <w:t>WHAT IF</w:t>
      </w:r>
      <w:r w:rsidRPr="00ED294F">
        <w:rPr>
          <w:rFonts w:eastAsia="Times New Roman" w:cs="Times New Roman"/>
        </w:rPr>
        <w:t xml:space="preserve"> Political Science recognized that in the Age of Information no discipline can be credible without the ability to collect, process, analyze, and share information affordably, inter-operably, and universally, which is to say, in an Open Source Everything fashion?</w:t>
      </w:r>
      <w:r w:rsidR="00A55D83">
        <w:rPr>
          <w:rFonts w:eastAsia="Times New Roman" w:cs="Times New Roman"/>
        </w:rPr>
        <w:t xml:space="preserve"> This restores agency to the public – we put the public back into politics, but this time we connect all minds with all information in all languages.</w:t>
      </w:r>
    </w:p>
    <w:p w:rsidR="000B2068" w:rsidRPr="00117841" w:rsidRDefault="003B0E29" w:rsidP="00A102CE">
      <w:pPr>
        <w:spacing w:after="120" w:line="240" w:lineRule="auto"/>
        <w:rPr>
          <w:b/>
          <w:bCs/>
          <w:i/>
        </w:rPr>
      </w:pPr>
      <w:r>
        <w:rPr>
          <w:b/>
          <w:bCs/>
          <w:i/>
        </w:rPr>
        <w:t>Research Theme and Problem</w:t>
      </w:r>
    </w:p>
    <w:p w:rsidR="00174774" w:rsidRDefault="00A25671" w:rsidP="00A102CE">
      <w:pPr>
        <w:spacing w:after="120" w:line="240" w:lineRule="auto"/>
        <w:rPr>
          <w:bCs/>
        </w:rPr>
      </w:pPr>
      <w:r>
        <w:rPr>
          <w:bCs/>
        </w:rPr>
        <w:t xml:space="preserve">The research will investigate existing attempts to govern outside the industrial-era state-dominated government model, with particular attention to human cognition and behavior as influenced by information protocols and technologies and access to ethical evidence-based decision-support. Rooted in indigenous forms of </w:t>
      </w:r>
      <w:r w:rsidR="00FF2643">
        <w:rPr>
          <w:bCs/>
        </w:rPr>
        <w:t xml:space="preserve">bottom-up </w:t>
      </w:r>
      <w:r>
        <w:rPr>
          <w:bCs/>
        </w:rPr>
        <w:t xml:space="preserve">governance, the project will investigate collective intelligence instances, identify successes and failures, and then design, test, and document an affordable, inter-operable, and scalable form of hybrid public governance in which no element controls the whole.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25671" w:rsidTr="00A25671">
        <w:tc>
          <w:tcPr>
            <w:tcW w:w="4788" w:type="dxa"/>
          </w:tcPr>
          <w:p w:rsidR="00A25671" w:rsidRDefault="00A25671" w:rsidP="00A102CE">
            <w:pPr>
              <w:spacing w:after="120"/>
              <w:rPr>
                <w:bCs/>
              </w:rPr>
            </w:pPr>
            <w:r>
              <w:rPr>
                <w:bCs/>
                <w:noProof/>
              </w:rPr>
              <w:drawing>
                <wp:inline distT="0" distB="0" distL="0" distR="0" wp14:anchorId="167CC082" wp14:editId="4AF1EC9B">
                  <wp:extent cx="2946400" cy="22098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h B Yellow Borde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6400" cy="2209800"/>
                          </a:xfrm>
                          <a:prstGeom prst="rect">
                            <a:avLst/>
                          </a:prstGeom>
                        </pic:spPr>
                      </pic:pic>
                    </a:graphicData>
                  </a:graphic>
                </wp:inline>
              </w:drawing>
            </w:r>
          </w:p>
        </w:tc>
        <w:tc>
          <w:tcPr>
            <w:tcW w:w="4788" w:type="dxa"/>
          </w:tcPr>
          <w:p w:rsidR="00A25671" w:rsidRDefault="00A25671" w:rsidP="00A102CE">
            <w:pPr>
              <w:spacing w:after="120"/>
              <w:rPr>
                <w:bCs/>
              </w:rPr>
            </w:pPr>
            <w:r>
              <w:rPr>
                <w:bCs/>
                <w:noProof/>
              </w:rPr>
              <w:drawing>
                <wp:inline distT="0" distB="0" distL="0" distR="0" wp14:anchorId="3E0EC4AF" wp14:editId="579C4743">
                  <wp:extent cx="2946400" cy="2209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 tribes best yellow bor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46400" cy="2209800"/>
                          </a:xfrm>
                          <a:prstGeom prst="rect">
                            <a:avLst/>
                          </a:prstGeom>
                        </pic:spPr>
                      </pic:pic>
                    </a:graphicData>
                  </a:graphic>
                </wp:inline>
              </w:drawing>
            </w:r>
          </w:p>
        </w:tc>
      </w:tr>
    </w:tbl>
    <w:p w:rsidR="006D08FC" w:rsidRPr="006D08FC" w:rsidRDefault="00555173" w:rsidP="00A102CE">
      <w:pPr>
        <w:spacing w:after="120" w:line="240" w:lineRule="auto"/>
        <w:rPr>
          <w:bCs/>
        </w:rPr>
      </w:pPr>
      <w:r>
        <w:rPr>
          <w:bCs/>
        </w:rPr>
        <w:t xml:space="preserve">This will, among other things, call for direct contact with collaborators in each of what I have for decades called the eight tribes of information: academic, civil society, commerce, government, law enforcement, </w:t>
      </w:r>
      <w:r>
        <w:rPr>
          <w:bCs/>
        </w:rPr>
        <w:lastRenderedPageBreak/>
        <w:t xml:space="preserve">media, military, and non-government/non-profit. </w:t>
      </w:r>
      <w:r w:rsidR="00C274A3">
        <w:rPr>
          <w:bCs/>
        </w:rPr>
        <w:t xml:space="preserve">What might work as a model to be tested is an open system of information-sharing and sense-making in which </w:t>
      </w:r>
      <w:r w:rsidR="006D08FC" w:rsidRPr="006D08FC">
        <w:rPr>
          <w:bCs/>
        </w:rPr>
        <w:t xml:space="preserve">representatives of each </w:t>
      </w:r>
      <w:r w:rsidR="00F35233">
        <w:rPr>
          <w:bCs/>
        </w:rPr>
        <w:t>information tribe</w:t>
      </w:r>
      <w:r w:rsidR="00EC4F1D">
        <w:rPr>
          <w:bCs/>
        </w:rPr>
        <w:t xml:space="preserve"> </w:t>
      </w:r>
      <w:bookmarkStart w:id="0" w:name="_GoBack"/>
      <w:bookmarkEnd w:id="0"/>
      <w:r w:rsidR="00C274A3">
        <w:rPr>
          <w:bCs/>
        </w:rPr>
        <w:t>work with the same rich information environment</w:t>
      </w:r>
      <w:r w:rsidR="006D08FC" w:rsidRPr="006D08FC">
        <w:rPr>
          <w:bCs/>
        </w:rPr>
        <w:t xml:space="preserve">.  With appropriate facilitation through a 'neutral' party, </w:t>
      </w:r>
      <w:r w:rsidR="00C274A3">
        <w:rPr>
          <w:bCs/>
        </w:rPr>
        <w:t xml:space="preserve">information-sharing and sense-making </w:t>
      </w:r>
      <w:r w:rsidR="006D08FC" w:rsidRPr="006D08FC">
        <w:rPr>
          <w:bCs/>
        </w:rPr>
        <w:t>exercises are expected to produce superior intelligence, judged from the perspective</w:t>
      </w:r>
      <w:r w:rsidR="00E137CB">
        <w:rPr>
          <w:bCs/>
        </w:rPr>
        <w:t xml:space="preserve"> of all</w:t>
      </w:r>
      <w:r w:rsidR="006D08FC" w:rsidRPr="006D08FC">
        <w:rPr>
          <w:bCs/>
        </w:rPr>
        <w:t>, compared to similar work produced by each tribe individually.  The definition of "superior" is of course a matter of contention.  That criterion is itself submitted to th</w:t>
      </w:r>
      <w:r w:rsidR="00DF4C41">
        <w:rPr>
          <w:bCs/>
        </w:rPr>
        <w:t>e group in a second-order cyber-reflex</w:t>
      </w:r>
      <w:r w:rsidR="006D08FC" w:rsidRPr="006D08FC">
        <w:rPr>
          <w:bCs/>
        </w:rPr>
        <w:t xml:space="preserve">ive loop that indirectly promotes </w:t>
      </w:r>
      <w:r w:rsidR="000B10BE">
        <w:rPr>
          <w:bCs/>
        </w:rPr>
        <w:t>cohesion and mutual discipline, advancing local information-sharing.</w:t>
      </w:r>
    </w:p>
    <w:p w:rsidR="000E39D8" w:rsidRDefault="000E39D8" w:rsidP="00A102CE">
      <w:pPr>
        <w:spacing w:after="120" w:line="240" w:lineRule="auto"/>
        <w:rPr>
          <w:b/>
          <w:bCs/>
          <w:i/>
        </w:rPr>
      </w:pPr>
      <w:r w:rsidRPr="000E39D8">
        <w:rPr>
          <w:b/>
          <w:bCs/>
          <w:i/>
        </w:rPr>
        <w:t>Method</w:t>
      </w:r>
      <w:r w:rsidR="003B0E29">
        <w:rPr>
          <w:b/>
          <w:bCs/>
          <w:i/>
        </w:rPr>
        <w:t>/Research Design</w:t>
      </w:r>
    </w:p>
    <w:p w:rsidR="0001090B" w:rsidRDefault="0001090B" w:rsidP="00A102CE">
      <w:pPr>
        <w:spacing w:after="120" w:line="240" w:lineRule="auto"/>
        <w:rPr>
          <w:bCs/>
        </w:rPr>
      </w:pPr>
      <w:r>
        <w:rPr>
          <w:bCs/>
        </w:rPr>
        <w:t xml:space="preserve">From 2006-2008 I funded a number of experienced volunteers in creating the </w:t>
      </w:r>
      <w:hyperlink r:id="rId18" w:history="1">
        <w:r w:rsidRPr="00C366CA">
          <w:rPr>
            <w:rStyle w:val="Hyperlink"/>
            <w:bCs/>
          </w:rPr>
          <w:t>Earth Intelligence Network</w:t>
        </w:r>
      </w:hyperlink>
      <w:r>
        <w:rPr>
          <w:bCs/>
        </w:rPr>
        <w:t>, an accredited 501c3 (non-profit) in the USA. At this time it has no employees and no budget. What it does have is a starting point for testing both a holistic analytic model for hybrid public governance; and an open source true cost economics network for collecting, processing, and presenting public intelligence (decision-support) in the public interest.</w:t>
      </w:r>
    </w:p>
    <w:p w:rsidR="00462688" w:rsidRDefault="00462688" w:rsidP="00A102CE">
      <w:pPr>
        <w:spacing w:after="120" w:line="240" w:lineRule="auto"/>
        <w:rPr>
          <w:bCs/>
        </w:rPr>
      </w:pPr>
      <w:r>
        <w:rPr>
          <w:bCs/>
        </w:rPr>
        <w:t xml:space="preserve">At its simplest level, we must recognize that major governments do not focus on the top three high-level threats to humanity (poverty, infectious disease, and environmental degradation), in part because their military-industrial-intelligence complexes profit from war, and in part because industrial era corporate complexes strive to protect their legacy investments </w:t>
      </w:r>
      <w:r w:rsidR="00C366CA">
        <w:rPr>
          <w:bCs/>
        </w:rPr>
        <w:t>against</w:t>
      </w:r>
      <w:r>
        <w:rPr>
          <w:bCs/>
        </w:rPr>
        <w:t xml:space="preserve"> faster, better, cheaper alternatives. At the same time, the </w:t>
      </w:r>
      <w:r w:rsidR="00A069FB">
        <w:rPr>
          <w:bCs/>
        </w:rPr>
        <w:t>various</w:t>
      </w:r>
      <w:r>
        <w:rPr>
          <w:bCs/>
        </w:rPr>
        <w:t xml:space="preserve"> policy communities have been captured by the recipients of tax revenue rather than the tax payers themselves – in the USA the Cabinet Secretaries fight to protect budget share and mega-stakeholders</w:t>
      </w:r>
      <w:r w:rsidR="0007455D">
        <w:rPr>
          <w:bCs/>
        </w:rPr>
        <w:t xml:space="preserve"> (those who receive revenue)</w:t>
      </w:r>
      <w:r>
        <w:rPr>
          <w:bCs/>
        </w:rPr>
        <w:t>, rather than apply ethical evidence-based decision-support on behal</w:t>
      </w:r>
      <w:r w:rsidR="00A069FB">
        <w:rPr>
          <w:bCs/>
        </w:rPr>
        <w:t>f of their citizen stakeholders (those who provide the revenue).</w:t>
      </w:r>
    </w:p>
    <w:p w:rsidR="00462688" w:rsidRDefault="00462688" w:rsidP="00A102CE">
      <w:pPr>
        <w:spacing w:after="120" w:line="240" w:lineRule="auto"/>
        <w:rPr>
          <w:bCs/>
        </w:rPr>
      </w:pPr>
      <w:r>
        <w:rPr>
          <w:bCs/>
        </w:rPr>
        <w:t xml:space="preserve">What appears to have collapsed as a decision-making model is the Weberian bureaucratic </w:t>
      </w:r>
      <w:r w:rsidR="00C326B0">
        <w:rPr>
          <w:bCs/>
        </w:rPr>
        <w:t>hierarchy</w:t>
      </w:r>
      <w:r>
        <w:rPr>
          <w:bCs/>
        </w:rPr>
        <w:t xml:space="preserve"> that seeks to control information and that makes decisions based on narrow managerial privileges</w:t>
      </w:r>
      <w:r w:rsidR="00A069FB">
        <w:rPr>
          <w:bCs/>
        </w:rPr>
        <w:t>, the abuse of secrecy, and various forms of corruption including data corruption,</w:t>
      </w:r>
      <w:r>
        <w:rPr>
          <w:bCs/>
        </w:rPr>
        <w:t xml:space="preserve"> rather than open discussion of all possibilities, proper investigation of true costs, and broad discussion of alternative courses of action.</w:t>
      </w:r>
    </w:p>
    <w:p w:rsidR="00462688" w:rsidRDefault="00462688" w:rsidP="00A102CE">
      <w:pPr>
        <w:spacing w:after="120" w:line="240" w:lineRule="auto"/>
        <w:rPr>
          <w:bCs/>
        </w:rPr>
      </w:pPr>
      <w:r>
        <w:rPr>
          <w:bCs/>
        </w:rPr>
        <w:t xml:space="preserve">There have been past innovations that showed great promise but were marginalized. The industrial input-output grid, attempts to foster an appreciation for ecological economics, even measures of national happiness and “intangible” wealth, are examples. </w:t>
      </w:r>
      <w:r w:rsidR="00A069FB">
        <w:rPr>
          <w:bCs/>
        </w:rPr>
        <w:t>Many good possibilities are emergent.</w:t>
      </w:r>
    </w:p>
    <w:p w:rsidR="00C037E0" w:rsidRDefault="00C037E0" w:rsidP="00A102CE">
      <w:pPr>
        <w:spacing w:after="120" w:line="240" w:lineRule="auto"/>
        <w:rPr>
          <w:bCs/>
        </w:rPr>
      </w:pPr>
      <w:r>
        <w:rPr>
          <w:bCs/>
        </w:rPr>
        <w:t xml:space="preserve">This research proposal </w:t>
      </w:r>
      <w:r w:rsidR="0075717E">
        <w:rPr>
          <w:bCs/>
        </w:rPr>
        <w:t xml:space="preserve">seeks to test and document </w:t>
      </w:r>
      <w:r>
        <w:rPr>
          <w:bCs/>
        </w:rPr>
        <w:t>the idea that bottom-up public education and public access to information-sharing and sense-making or intelligence/decision-support tools, will lead to decisions at all levels of governance that are superior to anything the government can de</w:t>
      </w:r>
      <w:r w:rsidR="00E137CB">
        <w:rPr>
          <w:bCs/>
        </w:rPr>
        <w:t>cide</w:t>
      </w:r>
      <w:r>
        <w:rPr>
          <w:bCs/>
        </w:rPr>
        <w:t xml:space="preserve"> on its own. The proposal hypothesizes that these decisions will be sustainable through transparency and efficacy, and that the government will quickly see that agricultural and energy revenue, and donor investments, increase in this context of public collective governance on the basis of full shared access to information.</w:t>
      </w:r>
    </w:p>
    <w:p w:rsidR="00C037E0" w:rsidRPr="00C037E0" w:rsidRDefault="00C037E0" w:rsidP="00A102CE">
      <w:pPr>
        <w:spacing w:after="120" w:line="240" w:lineRule="auto"/>
        <w:rPr>
          <w:bCs/>
        </w:rPr>
      </w:pPr>
      <w:r>
        <w:rPr>
          <w:bCs/>
        </w:rPr>
        <w:t>The research proposal also envisions a demonstration of improved information creation and sharing, in that each citizen, each stakeholder, will be empowered to share, and incentivized to share, information that will be made more valuable by being shared than by being restricted.</w:t>
      </w:r>
    </w:p>
    <w:p w:rsidR="00C274A3" w:rsidRPr="00C274A3" w:rsidRDefault="00C274A3" w:rsidP="00A102CE">
      <w:pPr>
        <w:spacing w:after="120" w:line="240" w:lineRule="auto"/>
        <w:rPr>
          <w:b/>
          <w:bCs/>
          <w:i/>
        </w:rPr>
      </w:pPr>
      <w:r w:rsidRPr="00C274A3">
        <w:rPr>
          <w:b/>
          <w:bCs/>
          <w:i/>
        </w:rPr>
        <w:t>Information Technology Facilitation</w:t>
      </w:r>
    </w:p>
    <w:p w:rsidR="00174774" w:rsidRDefault="00174774" w:rsidP="00A102CE">
      <w:pPr>
        <w:spacing w:after="120" w:line="240" w:lineRule="auto"/>
        <w:rPr>
          <w:bCs/>
        </w:rPr>
      </w:pPr>
      <w:r>
        <w:rPr>
          <w:bCs/>
        </w:rPr>
        <w:t xml:space="preserve">By virtue of being centered on Open Source Everything as the nature of the technical architecture, this project offers both the high-value prospect of harvesting all that is emergent from open source projects (for example </w:t>
      </w:r>
      <w:hyperlink r:id="rId19" w:history="1">
        <w:r w:rsidRPr="007D0A5F">
          <w:rPr>
            <w:rStyle w:val="Hyperlink"/>
            <w:bCs/>
          </w:rPr>
          <w:t>Crisis Mappers</w:t>
        </w:r>
        <w:r w:rsidR="007D0A5F" w:rsidRPr="007D0A5F">
          <w:rPr>
            <w:rStyle w:val="Hyperlink"/>
            <w:bCs/>
          </w:rPr>
          <w:t xml:space="preserve"> The Humanitarian Technology Network</w:t>
        </w:r>
      </w:hyperlink>
      <w:r>
        <w:rPr>
          <w:bCs/>
        </w:rPr>
        <w:t>); and also a reasonable prospect of b</w:t>
      </w:r>
      <w:r w:rsidR="007D0A5F">
        <w:rPr>
          <w:bCs/>
        </w:rPr>
        <w:t>eing relevant and influential in</w:t>
      </w:r>
      <w:r>
        <w:rPr>
          <w:bCs/>
        </w:rPr>
        <w:t xml:space="preserve"> inspiring </w:t>
      </w:r>
      <w:r w:rsidR="00AC0DE2">
        <w:rPr>
          <w:bCs/>
        </w:rPr>
        <w:t xml:space="preserve">other </w:t>
      </w:r>
      <w:r>
        <w:rPr>
          <w:bCs/>
        </w:rPr>
        <w:t>new endeavors</w:t>
      </w:r>
      <w:r w:rsidR="00AC0DE2">
        <w:rPr>
          <w:bCs/>
        </w:rPr>
        <w:t xml:space="preserve"> bringing open technologies to bear</w:t>
      </w:r>
      <w:r>
        <w:rPr>
          <w:bCs/>
        </w:rPr>
        <w:t>.</w:t>
      </w:r>
      <w:r w:rsidR="00F65AE4">
        <w:rPr>
          <w:bCs/>
        </w:rPr>
        <w:t xml:space="preserve"> </w:t>
      </w:r>
    </w:p>
    <w:p w:rsidR="00C037E0" w:rsidRDefault="00C037E0" w:rsidP="00A102CE">
      <w:pPr>
        <w:spacing w:after="120" w:line="240" w:lineRule="auto"/>
        <w:rPr>
          <w:bCs/>
        </w:rPr>
      </w:pPr>
      <w:r>
        <w:rPr>
          <w:bCs/>
        </w:rPr>
        <w:lastRenderedPageBreak/>
        <w:t xml:space="preserve">Sophisticated graphics and additional information </w:t>
      </w:r>
      <w:r w:rsidR="00C326B0">
        <w:rPr>
          <w:bCs/>
        </w:rPr>
        <w:t>are</w:t>
      </w:r>
      <w:r>
        <w:rPr>
          <w:bCs/>
        </w:rPr>
        <w:t xml:space="preserve"> available. </w:t>
      </w:r>
      <w:r w:rsidR="00C326B0">
        <w:rPr>
          <w:bCs/>
        </w:rPr>
        <w:t xml:space="preserve">In this short proposal </w:t>
      </w:r>
      <w:r w:rsidR="001E0EC5">
        <w:rPr>
          <w:bCs/>
        </w:rPr>
        <w:t>I</w:t>
      </w:r>
      <w:r w:rsidR="00C326B0">
        <w:rPr>
          <w:bCs/>
        </w:rPr>
        <w:t xml:space="preserve"> only suggest that </w:t>
      </w:r>
      <w:r w:rsidR="00E137CB">
        <w:rPr>
          <w:bCs/>
        </w:rPr>
        <w:t xml:space="preserve">a </w:t>
      </w:r>
      <w:r w:rsidR="00C326B0">
        <w:rPr>
          <w:bCs/>
        </w:rPr>
        <w:t>preliminary</w:t>
      </w:r>
      <w:r>
        <w:rPr>
          <w:bCs/>
        </w:rPr>
        <w:t xml:space="preserve"> open source ecology is available for information-sharing and sense-making. OpenBTS, Open Cloud, Open Data, Open Hardware, Open Software, Open Spectrum, Open Standards are among the opens that can be brought to bear. Further work is needed in open source analytics</w:t>
      </w:r>
      <w:r w:rsidR="00C326B0">
        <w:rPr>
          <w:bCs/>
        </w:rPr>
        <w:t xml:space="preserve"> to by-pass the proprietary offerings of companies such as ESRI, and make geospatially-based analytics truly open and effective at the grass-roots as well as the provincial, national, and regional levels.</w:t>
      </w:r>
    </w:p>
    <w:p w:rsidR="00F65AE4" w:rsidRPr="000E39D8" w:rsidRDefault="00F65AE4" w:rsidP="00A102CE">
      <w:pPr>
        <w:spacing w:after="120" w:line="240" w:lineRule="auto"/>
        <w:rPr>
          <w:b/>
          <w:bCs/>
          <w:i/>
        </w:rPr>
      </w:pPr>
      <w:r>
        <w:rPr>
          <w:b/>
          <w:bCs/>
          <w:i/>
        </w:rPr>
        <w:t>Preliminary Hypothese</w:t>
      </w:r>
      <w:r w:rsidRPr="000E39D8">
        <w:rPr>
          <w:b/>
          <w:bCs/>
          <w:i/>
        </w:rPr>
        <w:t>s</w:t>
      </w:r>
      <w:r w:rsidR="003F4192">
        <w:rPr>
          <w:b/>
          <w:bCs/>
          <w:i/>
        </w:rPr>
        <w:t xml:space="preserve"> &amp; Thesis Objective</w:t>
      </w:r>
    </w:p>
    <w:p w:rsidR="003F4192" w:rsidRDefault="004D0DA0" w:rsidP="00A102CE">
      <w:pPr>
        <w:spacing w:after="120" w:line="240" w:lineRule="auto"/>
        <w:rPr>
          <w:bCs/>
        </w:rPr>
      </w:pPr>
      <w:r>
        <w:rPr>
          <w:bCs/>
        </w:rPr>
        <w:t xml:space="preserve">The thesis is intended to </w:t>
      </w:r>
      <w:r w:rsidR="003F4192">
        <w:rPr>
          <w:bCs/>
        </w:rPr>
        <w:t>demonstrate that in today’s world, if the public can be provided with free information tools and access to all relevant information, everything about politics changes. This is a three-part experiment: a) create an “application” for decision-support that anyone can use; b)  create a model for assuring that true cost economic metrics are considered within the decision-support application; and c) leverage existing open source information technology and encourage development of needed new open source information technology applications to empower citizens with tools for thinking, communicating, and mobilizing effectively not just on one issue at a time, but on all issues.</w:t>
      </w:r>
    </w:p>
    <w:p w:rsidR="00FF6C4D" w:rsidRPr="00FF6C4D" w:rsidRDefault="006D08FC" w:rsidP="00A102CE">
      <w:pPr>
        <w:spacing w:after="120" w:line="240" w:lineRule="auto"/>
        <w:rPr>
          <w:b/>
          <w:bCs/>
          <w:i/>
        </w:rPr>
      </w:pPr>
      <w:r w:rsidRPr="00FF2643">
        <w:rPr>
          <w:b/>
          <w:bCs/>
          <w:i/>
        </w:rPr>
        <w:t>Literature Review</w:t>
      </w:r>
    </w:p>
    <w:p w:rsidR="006D08FC" w:rsidRDefault="006D08FC" w:rsidP="00A102CE">
      <w:pPr>
        <w:spacing w:after="120" w:line="240" w:lineRule="auto"/>
        <w:rPr>
          <w:bCs/>
        </w:rPr>
      </w:pPr>
      <w:r w:rsidRPr="00117841">
        <w:rPr>
          <w:bCs/>
        </w:rPr>
        <w:t>In the English language</w:t>
      </w:r>
      <w:r w:rsidR="00E137CB">
        <w:rPr>
          <w:bCs/>
        </w:rPr>
        <w:t xml:space="preserve"> at a layman’s first look</w:t>
      </w:r>
      <w:r w:rsidRPr="00117841">
        <w:rPr>
          <w:bCs/>
        </w:rPr>
        <w:t xml:space="preserve">, </w:t>
      </w:r>
      <w:r>
        <w:rPr>
          <w:bCs/>
        </w:rPr>
        <w:t xml:space="preserve">a few books are relevant on the topic of hybrid governance or governance by network, but </w:t>
      </w:r>
      <w:r w:rsidRPr="00FF2643">
        <w:rPr>
          <w:bCs/>
        </w:rPr>
        <w:t>all avoid the essential underpinnings of decision-support rooted in whole systems true cost economics or the cultural and technical challenge associated with affordable, inter-operable, scalable local to global information sharing and open collaborative sense-making.</w:t>
      </w:r>
      <w:r w:rsidRPr="00D81976">
        <w:rPr>
          <w:b/>
          <w:bCs/>
          <w:i/>
        </w:rPr>
        <w:t xml:space="preserve"> </w:t>
      </w:r>
      <w:r w:rsidR="00FF6C4D" w:rsidRPr="00FF6C4D">
        <w:rPr>
          <w:bCs/>
        </w:rPr>
        <w:t>I have written the only book in English focused on Open Source Everything.</w:t>
      </w:r>
      <w:r w:rsidR="00FF6C4D">
        <w:rPr>
          <w:b/>
          <w:bCs/>
          <w:i/>
        </w:rPr>
        <w:t xml:space="preserve"> </w:t>
      </w:r>
      <w:r>
        <w:rPr>
          <w:bCs/>
        </w:rPr>
        <w:t xml:space="preserve">Other smaller literatures exist on true cost economics and various types of open technology, but none focus on the holistic concepts I propose. Neither </w:t>
      </w:r>
      <w:hyperlink r:id="rId20" w:history="1">
        <w:r w:rsidRPr="00D81976">
          <w:rPr>
            <w:rStyle w:val="Hyperlink"/>
            <w:bCs/>
          </w:rPr>
          <w:t>parastatals</w:t>
        </w:r>
      </w:hyperlink>
      <w:r>
        <w:rPr>
          <w:bCs/>
        </w:rPr>
        <w:t xml:space="preserve"> nor narrow public-private partnerships encompass the larger </w:t>
      </w:r>
      <w:r w:rsidRPr="00D81976">
        <w:rPr>
          <w:b/>
          <w:bCs/>
        </w:rPr>
        <w:t xml:space="preserve">human-centric </w:t>
      </w:r>
      <w:r>
        <w:rPr>
          <w:b/>
          <w:bCs/>
        </w:rPr>
        <w:t xml:space="preserve">data-driven </w:t>
      </w:r>
      <w:r w:rsidRPr="00D81976">
        <w:rPr>
          <w:b/>
          <w:bCs/>
        </w:rPr>
        <w:t xml:space="preserve">vision </w:t>
      </w:r>
      <w:r>
        <w:rPr>
          <w:bCs/>
        </w:rPr>
        <w:t xml:space="preserve">that this project seeks to actualize. </w:t>
      </w:r>
      <w:r w:rsidR="001E0EC5">
        <w:rPr>
          <w:bCs/>
        </w:rPr>
        <w:t xml:space="preserve">I </w:t>
      </w:r>
      <w:r w:rsidR="00906F50">
        <w:rPr>
          <w:bCs/>
        </w:rPr>
        <w:t xml:space="preserve">hope to enlist </w:t>
      </w:r>
      <w:r w:rsidR="0024662C">
        <w:rPr>
          <w:bCs/>
        </w:rPr>
        <w:t>collaborator</w:t>
      </w:r>
      <w:r w:rsidR="00906F50">
        <w:rPr>
          <w:bCs/>
        </w:rPr>
        <w:t>s</w:t>
      </w:r>
      <w:r w:rsidR="00F65B9D">
        <w:rPr>
          <w:bCs/>
        </w:rPr>
        <w:t xml:space="preserve"> in a multi-lingual literature review, who later translate </w:t>
      </w:r>
      <w:r w:rsidR="00E137CB">
        <w:rPr>
          <w:bCs/>
        </w:rPr>
        <w:t>the</w:t>
      </w:r>
      <w:r w:rsidR="00F65B9D">
        <w:rPr>
          <w:bCs/>
        </w:rPr>
        <w:t xml:space="preserve"> work.</w:t>
      </w:r>
    </w:p>
    <w:p w:rsidR="00C326B0" w:rsidRDefault="0075717E" w:rsidP="00A102CE">
      <w:pPr>
        <w:spacing w:after="120" w:line="240" w:lineRule="auto"/>
        <w:rPr>
          <w:bCs/>
        </w:rPr>
      </w:pPr>
      <w:r>
        <w:rPr>
          <w:bCs/>
        </w:rPr>
        <w:t xml:space="preserve">I already have two graduate degrees and also read very broadly. </w:t>
      </w:r>
      <w:r w:rsidR="00C326B0">
        <w:rPr>
          <w:bCs/>
        </w:rPr>
        <w:t>The literature review should be done once the proposal is accepted and under the guidance of a multidisciplinary committee.</w:t>
      </w:r>
      <w:r w:rsidR="00FF6C4D">
        <w:rPr>
          <w:bCs/>
        </w:rPr>
        <w:t xml:space="preserve"> I propose a three-part approach to the literature review that would be most intense in the first quarter of the first year but be</w:t>
      </w:r>
      <w:r>
        <w:rPr>
          <w:bCs/>
        </w:rPr>
        <w:t xml:space="preserve"> </w:t>
      </w:r>
      <w:r w:rsidR="00FF6C4D">
        <w:rPr>
          <w:bCs/>
        </w:rPr>
        <w:t>continuous. I also observe that in my experience most published work is five to ten years old – beyond the literature review must come the identification and exploitation of minds that are on the bleeding edge of multidisciplinary innovation, so as to leverage their new work in near-real-time.</w:t>
      </w:r>
    </w:p>
    <w:p w:rsidR="00FF6C4D" w:rsidRDefault="00FF6C4D" w:rsidP="00A102CE">
      <w:pPr>
        <w:spacing w:after="120" w:line="240" w:lineRule="auto"/>
        <w:rPr>
          <w:bCs/>
        </w:rPr>
      </w:pPr>
      <w:r w:rsidRPr="00FF6C4D">
        <w:rPr>
          <w:b/>
          <w:bCs/>
        </w:rPr>
        <w:t>Part I: Political Science.</w:t>
      </w:r>
      <w:r>
        <w:rPr>
          <w:bCs/>
        </w:rPr>
        <w:t xml:space="preserve"> Within political science and guided by the committee, I must become current with the latest applicable works in political theory, political economy, policy studies, political communication, political psychology, and political networks. This effort will be synthesized in the first article.</w:t>
      </w:r>
      <w:r w:rsidR="00937B44">
        <w:rPr>
          <w:bCs/>
        </w:rPr>
        <w:t xml:space="preserve"> This is a political science research endeavor, not a political application of information technology.</w:t>
      </w:r>
    </w:p>
    <w:p w:rsidR="00FF6C4D" w:rsidRDefault="00FF6C4D" w:rsidP="00A102CE">
      <w:pPr>
        <w:spacing w:after="120" w:line="240" w:lineRule="auto"/>
        <w:rPr>
          <w:bCs/>
        </w:rPr>
      </w:pPr>
      <w:r w:rsidRPr="00FF6C4D">
        <w:rPr>
          <w:b/>
          <w:bCs/>
        </w:rPr>
        <w:t>Part II: Economics &amp; Information Technology.</w:t>
      </w:r>
      <w:r>
        <w:rPr>
          <w:bCs/>
        </w:rPr>
        <w:t xml:space="preserve"> Within economics I will use citation analytics to examine the latest works in true cost economics and open source information technology as well as the branches of technopolitics and digital activism.</w:t>
      </w:r>
      <w:r w:rsidR="00D03E57">
        <w:rPr>
          <w:bCs/>
        </w:rPr>
        <w:t xml:space="preserve"> This effort will be synthesized in the second article.</w:t>
      </w:r>
    </w:p>
    <w:p w:rsidR="00D03E57" w:rsidRDefault="00FF6C4D" w:rsidP="00A102CE">
      <w:pPr>
        <w:spacing w:after="120" w:line="240" w:lineRule="auto"/>
        <w:rPr>
          <w:bCs/>
        </w:rPr>
      </w:pPr>
      <w:r w:rsidRPr="00D03E57">
        <w:rPr>
          <w:b/>
          <w:bCs/>
        </w:rPr>
        <w:t>Part III: Everything Else Including Physics.</w:t>
      </w:r>
      <w:r w:rsidR="00D03E57">
        <w:rPr>
          <w:bCs/>
        </w:rPr>
        <w:t xml:space="preserve"> My broad reading (over 1,900 non-fiction books reviewed) is a helpful foundation, but from an academic point of view, I see a need for guided exploration across multiple scientific as well as social science disciplines. Physics for example, in now discovering consciousness, and quantum information is a concept worthy of further interest. This is a third article.</w:t>
      </w:r>
    </w:p>
    <w:p w:rsidR="003F4192" w:rsidRPr="003F4192" w:rsidRDefault="003F4192" w:rsidP="00A102CE">
      <w:pPr>
        <w:spacing w:after="120" w:line="240" w:lineRule="auto"/>
        <w:rPr>
          <w:bCs/>
        </w:rPr>
      </w:pPr>
      <w:r w:rsidRPr="003F4192">
        <w:rPr>
          <w:bCs/>
        </w:rPr>
        <w:t xml:space="preserve">Summary reviews of all </w:t>
      </w:r>
      <w:r>
        <w:rPr>
          <w:bCs/>
        </w:rPr>
        <w:t>books will be posted to Amazon, Phi Beta Iota, and the PhD wiki. Summary reviews of all articles, briefings, and interviews will be posted to the PhD wiki. The project will be transparent at all times, and will strive to attract volunteer inputs in multiple languages.</w:t>
      </w:r>
    </w:p>
    <w:p w:rsidR="00FF2643" w:rsidRDefault="00FF2643" w:rsidP="00A102CE">
      <w:pPr>
        <w:spacing w:after="120" w:line="240" w:lineRule="auto"/>
        <w:rPr>
          <w:b/>
          <w:bCs/>
          <w:i/>
        </w:rPr>
      </w:pPr>
      <w:r w:rsidRPr="000E39D8">
        <w:rPr>
          <w:b/>
          <w:bCs/>
          <w:i/>
        </w:rPr>
        <w:lastRenderedPageBreak/>
        <w:t>Provisional Chapter Plan</w:t>
      </w:r>
    </w:p>
    <w:p w:rsidR="00155F8A" w:rsidRDefault="00FF2643" w:rsidP="00A102CE">
      <w:pPr>
        <w:spacing w:after="120" w:line="240" w:lineRule="auto"/>
        <w:rPr>
          <w:bCs/>
        </w:rPr>
      </w:pPr>
      <w:r>
        <w:rPr>
          <w:bCs/>
        </w:rPr>
        <w:t xml:space="preserve">The chapter plan for the book I have been working on, </w:t>
      </w:r>
      <w:hyperlink r:id="rId21" w:history="1">
        <w:r w:rsidRPr="007D0A5F">
          <w:rPr>
            <w:rStyle w:val="Hyperlink"/>
            <w:bCs/>
            <w:i/>
          </w:rPr>
          <w:t>Intelligence with Integrity: Enabling Hybrid Public Governance with Open-Source Decision-Support</w:t>
        </w:r>
      </w:hyperlink>
      <w:r>
        <w:rPr>
          <w:bCs/>
        </w:rPr>
        <w:t>, is</w:t>
      </w:r>
      <w:r w:rsidR="00155F8A">
        <w:rPr>
          <w:bCs/>
        </w:rPr>
        <w:t xml:space="preserve"> offered as an interim but unsuitable measure. This is completely original work that should be properly scoped out and guided by a committee of masters.</w:t>
      </w:r>
    </w:p>
    <w:p w:rsidR="00A95E9D" w:rsidRDefault="00A95E9D" w:rsidP="00A102CE">
      <w:pPr>
        <w:spacing w:after="120" w:line="240" w:lineRule="auto"/>
        <w:rPr>
          <w:b/>
          <w:bCs/>
          <w:i/>
        </w:rPr>
      </w:pPr>
      <w:r>
        <w:rPr>
          <w:b/>
          <w:bCs/>
          <w:i/>
        </w:rPr>
        <w:t>Provisional Project Timetable (Each Year is Twelve Months)</w:t>
      </w:r>
    </w:p>
    <w:tbl>
      <w:tblPr>
        <w:tblStyle w:val="TableGrid"/>
        <w:tblW w:w="0" w:type="auto"/>
        <w:tblLook w:val="04A0" w:firstRow="1" w:lastRow="0" w:firstColumn="1" w:lastColumn="0" w:noHBand="0" w:noVBand="1"/>
      </w:tblPr>
      <w:tblGrid>
        <w:gridCol w:w="1548"/>
        <w:gridCol w:w="2610"/>
        <w:gridCol w:w="2790"/>
        <w:gridCol w:w="2628"/>
      </w:tblGrid>
      <w:tr w:rsidR="00A95E9D" w:rsidRPr="00C326B0" w:rsidTr="00C326B0">
        <w:tc>
          <w:tcPr>
            <w:tcW w:w="1548" w:type="dxa"/>
          </w:tcPr>
          <w:p w:rsidR="00A95E9D" w:rsidRPr="00C326B0" w:rsidRDefault="00A95E9D" w:rsidP="00A102CE">
            <w:pPr>
              <w:spacing w:after="120"/>
              <w:rPr>
                <w:b/>
                <w:bCs/>
                <w:sz w:val="20"/>
                <w:szCs w:val="20"/>
              </w:rPr>
            </w:pPr>
          </w:p>
        </w:tc>
        <w:tc>
          <w:tcPr>
            <w:tcW w:w="2610" w:type="dxa"/>
          </w:tcPr>
          <w:p w:rsidR="00A95E9D" w:rsidRPr="00C326B0" w:rsidRDefault="00A95E9D" w:rsidP="00A102CE">
            <w:pPr>
              <w:spacing w:after="120"/>
              <w:rPr>
                <w:b/>
                <w:bCs/>
                <w:sz w:val="20"/>
                <w:szCs w:val="20"/>
              </w:rPr>
            </w:pPr>
            <w:r w:rsidRPr="00C326B0">
              <w:rPr>
                <w:b/>
                <w:bCs/>
                <w:sz w:val="20"/>
                <w:szCs w:val="20"/>
              </w:rPr>
              <w:t>YEAR ONE</w:t>
            </w:r>
          </w:p>
        </w:tc>
        <w:tc>
          <w:tcPr>
            <w:tcW w:w="2790" w:type="dxa"/>
          </w:tcPr>
          <w:p w:rsidR="00A95E9D" w:rsidRPr="00C326B0" w:rsidRDefault="00A95E9D" w:rsidP="00A102CE">
            <w:pPr>
              <w:spacing w:after="120"/>
              <w:rPr>
                <w:b/>
                <w:bCs/>
                <w:sz w:val="20"/>
                <w:szCs w:val="20"/>
              </w:rPr>
            </w:pPr>
            <w:r w:rsidRPr="00C326B0">
              <w:rPr>
                <w:b/>
                <w:bCs/>
                <w:sz w:val="20"/>
                <w:szCs w:val="20"/>
              </w:rPr>
              <w:t>YEAR TWO</w:t>
            </w:r>
          </w:p>
        </w:tc>
        <w:tc>
          <w:tcPr>
            <w:tcW w:w="2628" w:type="dxa"/>
          </w:tcPr>
          <w:p w:rsidR="00A95E9D" w:rsidRPr="00C326B0" w:rsidRDefault="00A95E9D" w:rsidP="00A102CE">
            <w:pPr>
              <w:spacing w:after="120"/>
              <w:rPr>
                <w:b/>
                <w:bCs/>
                <w:sz w:val="20"/>
                <w:szCs w:val="20"/>
              </w:rPr>
            </w:pPr>
            <w:r w:rsidRPr="00C326B0">
              <w:rPr>
                <w:b/>
                <w:bCs/>
                <w:sz w:val="20"/>
                <w:szCs w:val="20"/>
              </w:rPr>
              <w:t>YEAR THREE</w:t>
            </w:r>
          </w:p>
        </w:tc>
      </w:tr>
      <w:tr w:rsidR="00A95E9D" w:rsidRPr="00C326B0" w:rsidTr="00C326B0">
        <w:tc>
          <w:tcPr>
            <w:tcW w:w="1548" w:type="dxa"/>
          </w:tcPr>
          <w:p w:rsidR="00A95E9D" w:rsidRPr="00C326B0" w:rsidRDefault="00A95E9D" w:rsidP="00A102CE">
            <w:pPr>
              <w:spacing w:after="120"/>
              <w:rPr>
                <w:b/>
                <w:bCs/>
                <w:sz w:val="20"/>
                <w:szCs w:val="20"/>
              </w:rPr>
            </w:pPr>
            <w:r w:rsidRPr="00C326B0">
              <w:rPr>
                <w:b/>
                <w:bCs/>
                <w:sz w:val="20"/>
                <w:szCs w:val="20"/>
              </w:rPr>
              <w:t>Q1 (</w:t>
            </w:r>
            <w:r w:rsidR="006363F3" w:rsidRPr="00C326B0">
              <w:rPr>
                <w:b/>
                <w:bCs/>
                <w:sz w:val="20"/>
                <w:szCs w:val="20"/>
              </w:rPr>
              <w:t>Fall</w:t>
            </w:r>
            <w:r w:rsidRPr="00C326B0">
              <w:rPr>
                <w:b/>
                <w:bCs/>
                <w:sz w:val="20"/>
                <w:szCs w:val="20"/>
              </w:rPr>
              <w:t>)</w:t>
            </w:r>
          </w:p>
        </w:tc>
        <w:tc>
          <w:tcPr>
            <w:tcW w:w="2610" w:type="dxa"/>
          </w:tcPr>
          <w:p w:rsidR="00A95E9D" w:rsidRPr="00C326B0" w:rsidRDefault="00A95E9D" w:rsidP="00D03E57">
            <w:pPr>
              <w:spacing w:after="120"/>
              <w:rPr>
                <w:bCs/>
                <w:sz w:val="20"/>
                <w:szCs w:val="20"/>
              </w:rPr>
            </w:pPr>
            <w:r w:rsidRPr="00C326B0">
              <w:rPr>
                <w:bCs/>
                <w:sz w:val="20"/>
                <w:szCs w:val="20"/>
              </w:rPr>
              <w:t xml:space="preserve">Faculty assessment of student, identification of needed courses. Literature review. 1st </w:t>
            </w:r>
            <w:r w:rsidR="006363F3" w:rsidRPr="00C326B0">
              <w:rPr>
                <w:bCs/>
                <w:sz w:val="20"/>
                <w:szCs w:val="20"/>
              </w:rPr>
              <w:t>research/chapter plan. 1st round of advisors</w:t>
            </w:r>
            <w:r w:rsidR="00D03E57">
              <w:rPr>
                <w:bCs/>
                <w:sz w:val="20"/>
                <w:szCs w:val="20"/>
              </w:rPr>
              <w:t>. Create</w:t>
            </w:r>
            <w:r w:rsidR="006764B7" w:rsidRPr="00C326B0">
              <w:rPr>
                <w:bCs/>
                <w:sz w:val="20"/>
                <w:szCs w:val="20"/>
              </w:rPr>
              <w:t xml:space="preserve"> website &amp; wiki.</w:t>
            </w:r>
          </w:p>
        </w:tc>
        <w:tc>
          <w:tcPr>
            <w:tcW w:w="2790" w:type="dxa"/>
          </w:tcPr>
          <w:p w:rsidR="00A95E9D" w:rsidRPr="00C326B0" w:rsidRDefault="006363F3" w:rsidP="00D03E57">
            <w:pPr>
              <w:spacing w:after="120"/>
              <w:rPr>
                <w:bCs/>
                <w:sz w:val="20"/>
                <w:szCs w:val="20"/>
              </w:rPr>
            </w:pPr>
            <w:r w:rsidRPr="00C326B0">
              <w:rPr>
                <w:bCs/>
                <w:sz w:val="20"/>
                <w:szCs w:val="20"/>
              </w:rPr>
              <w:t>Outreach. 2nd round of advisors both within university and external invited.</w:t>
            </w:r>
            <w:r w:rsidR="00F65B9D" w:rsidRPr="00C326B0">
              <w:rPr>
                <w:bCs/>
                <w:sz w:val="20"/>
                <w:szCs w:val="20"/>
              </w:rPr>
              <w:t xml:space="preserve"> Use draft articles to build network.</w:t>
            </w:r>
            <w:r w:rsidR="004D0DA0" w:rsidRPr="00C326B0">
              <w:rPr>
                <w:bCs/>
                <w:sz w:val="20"/>
                <w:szCs w:val="20"/>
              </w:rPr>
              <w:t xml:space="preserve"> First conference.</w:t>
            </w:r>
          </w:p>
        </w:tc>
        <w:tc>
          <w:tcPr>
            <w:tcW w:w="2628" w:type="dxa"/>
          </w:tcPr>
          <w:p w:rsidR="00F65B9D" w:rsidRPr="00C326B0" w:rsidRDefault="006363F3" w:rsidP="00D03E57">
            <w:pPr>
              <w:spacing w:after="120"/>
              <w:rPr>
                <w:bCs/>
                <w:sz w:val="20"/>
                <w:szCs w:val="20"/>
              </w:rPr>
            </w:pPr>
            <w:r w:rsidRPr="00C326B0">
              <w:rPr>
                <w:bCs/>
                <w:sz w:val="20"/>
                <w:szCs w:val="20"/>
              </w:rPr>
              <w:t>Finalize chapter plan. Finalize committee. Carry out preliminary thesis defense</w:t>
            </w:r>
            <w:r w:rsidR="00F65B9D" w:rsidRPr="00C326B0">
              <w:rPr>
                <w:bCs/>
                <w:sz w:val="20"/>
                <w:szCs w:val="20"/>
              </w:rPr>
              <w:t>.</w:t>
            </w:r>
            <w:r w:rsidR="00D03E57">
              <w:rPr>
                <w:bCs/>
                <w:sz w:val="20"/>
                <w:szCs w:val="20"/>
              </w:rPr>
              <w:t xml:space="preserve"> S</w:t>
            </w:r>
            <w:r w:rsidR="004D0DA0" w:rsidRPr="00C326B0">
              <w:rPr>
                <w:bCs/>
                <w:sz w:val="20"/>
                <w:szCs w:val="20"/>
              </w:rPr>
              <w:t>econd conference.</w:t>
            </w:r>
            <w:r w:rsidR="00D03E57">
              <w:rPr>
                <w:bCs/>
                <w:sz w:val="20"/>
                <w:szCs w:val="20"/>
              </w:rPr>
              <w:t xml:space="preserve"> </w:t>
            </w:r>
            <w:r w:rsidR="00F65B9D" w:rsidRPr="00C326B0">
              <w:rPr>
                <w:bCs/>
                <w:sz w:val="20"/>
                <w:szCs w:val="20"/>
              </w:rPr>
              <w:t>Write.</w:t>
            </w:r>
          </w:p>
        </w:tc>
      </w:tr>
      <w:tr w:rsidR="00A95E9D" w:rsidRPr="00C326B0" w:rsidTr="00C326B0">
        <w:tc>
          <w:tcPr>
            <w:tcW w:w="1548" w:type="dxa"/>
          </w:tcPr>
          <w:p w:rsidR="00A95E9D" w:rsidRPr="00C326B0" w:rsidRDefault="00A95E9D" w:rsidP="00A102CE">
            <w:pPr>
              <w:spacing w:after="120"/>
              <w:rPr>
                <w:b/>
                <w:bCs/>
                <w:sz w:val="20"/>
                <w:szCs w:val="20"/>
              </w:rPr>
            </w:pPr>
            <w:r w:rsidRPr="00C326B0">
              <w:rPr>
                <w:b/>
                <w:bCs/>
                <w:sz w:val="20"/>
                <w:szCs w:val="20"/>
              </w:rPr>
              <w:t>Q2 (</w:t>
            </w:r>
            <w:r w:rsidR="006363F3" w:rsidRPr="00C326B0">
              <w:rPr>
                <w:b/>
                <w:bCs/>
                <w:sz w:val="20"/>
                <w:szCs w:val="20"/>
              </w:rPr>
              <w:t>Winter</w:t>
            </w:r>
            <w:r w:rsidRPr="00C326B0">
              <w:rPr>
                <w:b/>
                <w:bCs/>
                <w:sz w:val="20"/>
                <w:szCs w:val="20"/>
              </w:rPr>
              <w:t>)</w:t>
            </w:r>
          </w:p>
        </w:tc>
        <w:tc>
          <w:tcPr>
            <w:tcW w:w="2610" w:type="dxa"/>
          </w:tcPr>
          <w:p w:rsidR="00F65B9D" w:rsidRPr="00C326B0" w:rsidRDefault="00A95E9D" w:rsidP="00D03E57">
            <w:pPr>
              <w:spacing w:after="120"/>
              <w:rPr>
                <w:bCs/>
                <w:sz w:val="20"/>
                <w:szCs w:val="20"/>
              </w:rPr>
            </w:pPr>
            <w:r w:rsidRPr="00C326B0">
              <w:rPr>
                <w:bCs/>
                <w:sz w:val="20"/>
                <w:szCs w:val="20"/>
              </w:rPr>
              <w:t>Coursework</w:t>
            </w:r>
            <w:r w:rsidR="006363F3" w:rsidRPr="00C326B0">
              <w:rPr>
                <w:bCs/>
                <w:sz w:val="20"/>
                <w:szCs w:val="20"/>
              </w:rPr>
              <w:t xml:space="preserve"> &amp; Teach</w:t>
            </w:r>
            <w:r w:rsidR="00F65B9D" w:rsidRPr="00C326B0">
              <w:rPr>
                <w:bCs/>
                <w:sz w:val="20"/>
                <w:szCs w:val="20"/>
              </w:rPr>
              <w:t>. Set stage for project with case s</w:t>
            </w:r>
            <w:r w:rsidR="004D0DA0" w:rsidRPr="00C326B0">
              <w:rPr>
                <w:bCs/>
                <w:sz w:val="20"/>
                <w:szCs w:val="20"/>
              </w:rPr>
              <w:t xml:space="preserve">tudy area eight tribes. </w:t>
            </w:r>
            <w:r w:rsidR="006764B7" w:rsidRPr="00C326B0">
              <w:rPr>
                <w:bCs/>
                <w:sz w:val="20"/>
                <w:szCs w:val="20"/>
              </w:rPr>
              <w:t>Outreach</w:t>
            </w:r>
            <w:r w:rsidR="004D0DA0" w:rsidRPr="00C326B0">
              <w:rPr>
                <w:bCs/>
                <w:sz w:val="20"/>
                <w:szCs w:val="20"/>
              </w:rPr>
              <w:t>. Organize conference for Year Two Q1 (Fall).</w:t>
            </w:r>
            <w:r w:rsidR="006764B7" w:rsidRPr="00C326B0">
              <w:rPr>
                <w:bCs/>
                <w:sz w:val="20"/>
                <w:szCs w:val="20"/>
              </w:rPr>
              <w:t xml:space="preserve"> Submit </w:t>
            </w:r>
            <w:r w:rsidR="00D03E57">
              <w:rPr>
                <w:bCs/>
                <w:sz w:val="20"/>
                <w:szCs w:val="20"/>
              </w:rPr>
              <w:t xml:space="preserve">first </w:t>
            </w:r>
            <w:r w:rsidR="006764B7" w:rsidRPr="00C326B0">
              <w:rPr>
                <w:bCs/>
                <w:sz w:val="20"/>
                <w:szCs w:val="20"/>
              </w:rPr>
              <w:t>article for publication.</w:t>
            </w:r>
          </w:p>
        </w:tc>
        <w:tc>
          <w:tcPr>
            <w:tcW w:w="2790" w:type="dxa"/>
          </w:tcPr>
          <w:p w:rsidR="00A95E9D" w:rsidRPr="00C326B0" w:rsidRDefault="006363F3" w:rsidP="00D03E57">
            <w:pPr>
              <w:spacing w:after="120"/>
              <w:rPr>
                <w:bCs/>
                <w:sz w:val="20"/>
                <w:szCs w:val="20"/>
              </w:rPr>
            </w:pPr>
            <w:r w:rsidRPr="00C326B0">
              <w:rPr>
                <w:bCs/>
                <w:sz w:val="20"/>
                <w:szCs w:val="20"/>
              </w:rPr>
              <w:t>Coursework &amp; Teach</w:t>
            </w:r>
            <w:r w:rsidR="00F65B9D" w:rsidRPr="00C326B0">
              <w:rPr>
                <w:bCs/>
                <w:sz w:val="20"/>
                <w:szCs w:val="20"/>
              </w:rPr>
              <w:t>. Process preliminary feedback from case study area eight tribes.</w:t>
            </w:r>
            <w:r w:rsidR="004D0DA0" w:rsidRPr="00C326B0">
              <w:rPr>
                <w:bCs/>
                <w:sz w:val="20"/>
                <w:szCs w:val="20"/>
              </w:rPr>
              <w:t xml:space="preserve"> Organize conference for Year Three Q1 (Fall).</w:t>
            </w:r>
            <w:r w:rsidR="006764B7" w:rsidRPr="00C326B0">
              <w:rPr>
                <w:bCs/>
                <w:sz w:val="20"/>
                <w:szCs w:val="20"/>
              </w:rPr>
              <w:t xml:space="preserve"> Submit </w:t>
            </w:r>
            <w:r w:rsidR="00D03E57">
              <w:rPr>
                <w:bCs/>
                <w:sz w:val="20"/>
                <w:szCs w:val="20"/>
              </w:rPr>
              <w:t>second article for publication.</w:t>
            </w:r>
          </w:p>
        </w:tc>
        <w:tc>
          <w:tcPr>
            <w:tcW w:w="2628" w:type="dxa"/>
          </w:tcPr>
          <w:p w:rsidR="006764B7" w:rsidRPr="00C326B0" w:rsidRDefault="00F65B9D" w:rsidP="00D03E57">
            <w:pPr>
              <w:spacing w:after="120"/>
              <w:rPr>
                <w:bCs/>
                <w:sz w:val="20"/>
                <w:szCs w:val="20"/>
              </w:rPr>
            </w:pPr>
            <w:r w:rsidRPr="00C326B0">
              <w:rPr>
                <w:bCs/>
                <w:sz w:val="20"/>
                <w:szCs w:val="20"/>
              </w:rPr>
              <w:t>Teach. Process advanced feedback from case study area eight tribes.</w:t>
            </w:r>
            <w:r w:rsidR="006764B7" w:rsidRPr="00C326B0">
              <w:rPr>
                <w:bCs/>
                <w:sz w:val="20"/>
                <w:szCs w:val="20"/>
              </w:rPr>
              <w:t xml:space="preserve"> Publish edited collection of video snap-shots from case study participants. Submit </w:t>
            </w:r>
            <w:r w:rsidR="00D03E57">
              <w:rPr>
                <w:bCs/>
                <w:sz w:val="20"/>
                <w:szCs w:val="20"/>
              </w:rPr>
              <w:t>third article for publication.</w:t>
            </w:r>
          </w:p>
        </w:tc>
      </w:tr>
      <w:tr w:rsidR="00A95E9D" w:rsidRPr="00C326B0" w:rsidTr="00C326B0">
        <w:tc>
          <w:tcPr>
            <w:tcW w:w="1548" w:type="dxa"/>
          </w:tcPr>
          <w:p w:rsidR="00A95E9D" w:rsidRPr="00C326B0" w:rsidRDefault="00A95E9D" w:rsidP="00A102CE">
            <w:pPr>
              <w:spacing w:after="120"/>
              <w:rPr>
                <w:b/>
                <w:bCs/>
                <w:sz w:val="20"/>
                <w:szCs w:val="20"/>
              </w:rPr>
            </w:pPr>
            <w:r w:rsidRPr="00C326B0">
              <w:rPr>
                <w:b/>
                <w:bCs/>
                <w:sz w:val="20"/>
                <w:szCs w:val="20"/>
              </w:rPr>
              <w:t>Q3 (S</w:t>
            </w:r>
            <w:r w:rsidR="006363F3" w:rsidRPr="00C326B0">
              <w:rPr>
                <w:b/>
                <w:bCs/>
                <w:sz w:val="20"/>
                <w:szCs w:val="20"/>
              </w:rPr>
              <w:t>pring</w:t>
            </w:r>
            <w:r w:rsidRPr="00C326B0">
              <w:rPr>
                <w:b/>
                <w:bCs/>
                <w:sz w:val="20"/>
                <w:szCs w:val="20"/>
              </w:rPr>
              <w:t>)</w:t>
            </w:r>
          </w:p>
        </w:tc>
        <w:tc>
          <w:tcPr>
            <w:tcW w:w="2610" w:type="dxa"/>
          </w:tcPr>
          <w:p w:rsidR="00A95E9D" w:rsidRPr="00C326B0" w:rsidRDefault="006363F3" w:rsidP="00A102CE">
            <w:pPr>
              <w:spacing w:after="120"/>
              <w:rPr>
                <w:bCs/>
                <w:sz w:val="20"/>
                <w:szCs w:val="20"/>
              </w:rPr>
            </w:pPr>
            <w:r w:rsidRPr="00C326B0">
              <w:rPr>
                <w:bCs/>
                <w:sz w:val="20"/>
                <w:szCs w:val="20"/>
              </w:rPr>
              <w:t>Coursework &amp; Teach</w:t>
            </w:r>
          </w:p>
        </w:tc>
        <w:tc>
          <w:tcPr>
            <w:tcW w:w="2790" w:type="dxa"/>
          </w:tcPr>
          <w:p w:rsidR="00A95E9D" w:rsidRPr="00C326B0" w:rsidRDefault="006363F3" w:rsidP="00A102CE">
            <w:pPr>
              <w:spacing w:after="120"/>
              <w:rPr>
                <w:bCs/>
                <w:sz w:val="20"/>
                <w:szCs w:val="20"/>
              </w:rPr>
            </w:pPr>
            <w:r w:rsidRPr="00C326B0">
              <w:rPr>
                <w:bCs/>
                <w:sz w:val="20"/>
                <w:szCs w:val="20"/>
              </w:rPr>
              <w:t>Coursework &amp; Teach</w:t>
            </w:r>
          </w:p>
        </w:tc>
        <w:tc>
          <w:tcPr>
            <w:tcW w:w="2628" w:type="dxa"/>
          </w:tcPr>
          <w:p w:rsidR="00A95E9D" w:rsidRPr="00C326B0" w:rsidRDefault="00F65B9D" w:rsidP="00A102CE">
            <w:pPr>
              <w:spacing w:after="120"/>
              <w:rPr>
                <w:bCs/>
                <w:sz w:val="20"/>
                <w:szCs w:val="20"/>
              </w:rPr>
            </w:pPr>
            <w:r w:rsidRPr="00C326B0">
              <w:rPr>
                <w:bCs/>
                <w:sz w:val="20"/>
                <w:szCs w:val="20"/>
              </w:rPr>
              <w:t>Write</w:t>
            </w:r>
          </w:p>
        </w:tc>
      </w:tr>
      <w:tr w:rsidR="00A95E9D" w:rsidRPr="00C326B0" w:rsidTr="00C326B0">
        <w:tc>
          <w:tcPr>
            <w:tcW w:w="1548" w:type="dxa"/>
          </w:tcPr>
          <w:p w:rsidR="00A95E9D" w:rsidRPr="00C326B0" w:rsidRDefault="00A95E9D" w:rsidP="00A102CE">
            <w:pPr>
              <w:spacing w:after="120"/>
              <w:rPr>
                <w:b/>
                <w:bCs/>
                <w:sz w:val="20"/>
                <w:szCs w:val="20"/>
              </w:rPr>
            </w:pPr>
            <w:r w:rsidRPr="00C326B0">
              <w:rPr>
                <w:b/>
                <w:bCs/>
                <w:sz w:val="20"/>
                <w:szCs w:val="20"/>
              </w:rPr>
              <w:t>Q4 (</w:t>
            </w:r>
            <w:r w:rsidR="006363F3" w:rsidRPr="00C326B0">
              <w:rPr>
                <w:b/>
                <w:bCs/>
                <w:sz w:val="20"/>
                <w:szCs w:val="20"/>
              </w:rPr>
              <w:t>Summer</w:t>
            </w:r>
            <w:r w:rsidRPr="00C326B0">
              <w:rPr>
                <w:b/>
                <w:bCs/>
                <w:sz w:val="20"/>
                <w:szCs w:val="20"/>
              </w:rPr>
              <w:t>)</w:t>
            </w:r>
          </w:p>
        </w:tc>
        <w:tc>
          <w:tcPr>
            <w:tcW w:w="2610" w:type="dxa"/>
          </w:tcPr>
          <w:p w:rsidR="00A95E9D" w:rsidRPr="00C326B0" w:rsidRDefault="007C2D28" w:rsidP="007C2D28">
            <w:pPr>
              <w:spacing w:after="120"/>
              <w:rPr>
                <w:bCs/>
                <w:sz w:val="20"/>
                <w:szCs w:val="20"/>
              </w:rPr>
            </w:pPr>
            <w:r>
              <w:rPr>
                <w:bCs/>
                <w:sz w:val="20"/>
                <w:szCs w:val="20"/>
              </w:rPr>
              <w:t>Field work in case study area</w:t>
            </w:r>
            <w:r w:rsidR="006363F3" w:rsidRPr="00C326B0">
              <w:rPr>
                <w:bCs/>
                <w:sz w:val="20"/>
                <w:szCs w:val="20"/>
              </w:rPr>
              <w:t>. Complete chapters 1-3 in draft form.</w:t>
            </w:r>
          </w:p>
        </w:tc>
        <w:tc>
          <w:tcPr>
            <w:tcW w:w="2790" w:type="dxa"/>
          </w:tcPr>
          <w:p w:rsidR="00A95E9D" w:rsidRPr="00C326B0" w:rsidRDefault="007C2D28" w:rsidP="007C2D28">
            <w:pPr>
              <w:spacing w:after="120"/>
              <w:rPr>
                <w:bCs/>
                <w:sz w:val="20"/>
                <w:szCs w:val="20"/>
              </w:rPr>
            </w:pPr>
            <w:r>
              <w:rPr>
                <w:bCs/>
                <w:sz w:val="20"/>
                <w:szCs w:val="20"/>
              </w:rPr>
              <w:t xml:space="preserve">Field work in case study area </w:t>
            </w:r>
            <w:r w:rsidR="006363F3" w:rsidRPr="00C326B0">
              <w:rPr>
                <w:bCs/>
                <w:sz w:val="20"/>
                <w:szCs w:val="20"/>
              </w:rPr>
              <w:t>. Complete chapters 4-6 in draft form.</w:t>
            </w:r>
          </w:p>
        </w:tc>
        <w:tc>
          <w:tcPr>
            <w:tcW w:w="2628" w:type="dxa"/>
          </w:tcPr>
          <w:p w:rsidR="00A95E9D" w:rsidRPr="00C326B0" w:rsidRDefault="006363F3" w:rsidP="00155F8A">
            <w:pPr>
              <w:spacing w:after="120"/>
              <w:rPr>
                <w:bCs/>
                <w:sz w:val="20"/>
                <w:szCs w:val="20"/>
              </w:rPr>
            </w:pPr>
            <w:r w:rsidRPr="00C326B0">
              <w:rPr>
                <w:bCs/>
                <w:sz w:val="20"/>
                <w:szCs w:val="20"/>
              </w:rPr>
              <w:t xml:space="preserve">Create syllabus and all </w:t>
            </w:r>
            <w:r w:rsidR="00155F8A">
              <w:rPr>
                <w:bCs/>
                <w:sz w:val="20"/>
                <w:szCs w:val="20"/>
              </w:rPr>
              <w:t>lesson plans for posting online. T</w:t>
            </w:r>
            <w:r w:rsidRPr="00C326B0">
              <w:rPr>
                <w:bCs/>
                <w:sz w:val="20"/>
                <w:szCs w:val="20"/>
              </w:rPr>
              <w:t xml:space="preserve">hesis defense. </w:t>
            </w:r>
            <w:r w:rsidR="006764B7" w:rsidRPr="00C326B0">
              <w:rPr>
                <w:bCs/>
                <w:sz w:val="20"/>
                <w:szCs w:val="20"/>
              </w:rPr>
              <w:t>Finish</w:t>
            </w:r>
            <w:r w:rsidRPr="00C326B0">
              <w:rPr>
                <w:bCs/>
                <w:sz w:val="20"/>
                <w:szCs w:val="20"/>
              </w:rPr>
              <w:t xml:space="preserve"> book.</w:t>
            </w:r>
          </w:p>
        </w:tc>
      </w:tr>
    </w:tbl>
    <w:p w:rsidR="00D03E57" w:rsidRDefault="00D03E57" w:rsidP="00D03E57">
      <w:pPr>
        <w:spacing w:before="120" w:after="120" w:line="240" w:lineRule="auto"/>
        <w:rPr>
          <w:b/>
          <w:bCs/>
          <w:i/>
        </w:rPr>
      </w:pPr>
      <w:r w:rsidRPr="00D03E57">
        <w:rPr>
          <w:b/>
          <w:bCs/>
          <w:i/>
        </w:rPr>
        <w:t>End Game</w:t>
      </w:r>
    </w:p>
    <w:p w:rsidR="00D03E57" w:rsidRDefault="00D03E57" w:rsidP="00A102CE">
      <w:pPr>
        <w:spacing w:after="120" w:line="240" w:lineRule="auto"/>
        <w:rPr>
          <w:bCs/>
        </w:rPr>
      </w:pPr>
      <w:r>
        <w:rPr>
          <w:bCs/>
        </w:rPr>
        <w:t xml:space="preserve">My end game – over 20 years in the making but requiring the discipline of guided study – is the creation of a School of Future-Oriented Hybrid Governance, and a World Brain Institute, and </w:t>
      </w:r>
      <w:r w:rsidR="00937B44">
        <w:rPr>
          <w:bCs/>
        </w:rPr>
        <w:t xml:space="preserve">perhaps also </w:t>
      </w:r>
      <w:r>
        <w:rPr>
          <w:bCs/>
        </w:rPr>
        <w:t>an Open Source Agency that nurtures all the opens. I would seek to do this where I have earned my PhD.</w:t>
      </w:r>
    </w:p>
    <w:tbl>
      <w:tblPr>
        <w:tblStyle w:val="TableGrid"/>
        <w:tblW w:w="0" w:type="auto"/>
        <w:tblLook w:val="04A0" w:firstRow="1" w:lastRow="0" w:firstColumn="1" w:lastColumn="0" w:noHBand="0" w:noVBand="1"/>
      </w:tblPr>
      <w:tblGrid>
        <w:gridCol w:w="4788"/>
        <w:gridCol w:w="4788"/>
      </w:tblGrid>
      <w:tr w:rsidR="00D03E57" w:rsidTr="00D03E57">
        <w:tc>
          <w:tcPr>
            <w:tcW w:w="4788" w:type="dxa"/>
            <w:tcBorders>
              <w:top w:val="nil"/>
              <w:left w:val="nil"/>
              <w:bottom w:val="nil"/>
              <w:right w:val="nil"/>
            </w:tcBorders>
          </w:tcPr>
          <w:p w:rsidR="00D03E57" w:rsidRDefault="00D03E57" w:rsidP="00A102CE">
            <w:pPr>
              <w:spacing w:after="120"/>
              <w:rPr>
                <w:bCs/>
              </w:rPr>
            </w:pPr>
            <w:r>
              <w:rPr>
                <w:bCs/>
                <w:noProof/>
              </w:rPr>
              <w:drawing>
                <wp:inline distT="0" distB="0" distL="0" distR="0" wp14:anchorId="0CF739E9" wp14:editId="03755718">
                  <wp:extent cx="2834640" cy="2125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34640" cy="2125980"/>
                          </a:xfrm>
                          <a:prstGeom prst="rect">
                            <a:avLst/>
                          </a:prstGeom>
                        </pic:spPr>
                      </pic:pic>
                    </a:graphicData>
                  </a:graphic>
                </wp:inline>
              </w:drawing>
            </w:r>
          </w:p>
        </w:tc>
        <w:tc>
          <w:tcPr>
            <w:tcW w:w="4788" w:type="dxa"/>
            <w:tcBorders>
              <w:top w:val="nil"/>
              <w:left w:val="nil"/>
              <w:bottom w:val="nil"/>
              <w:right w:val="nil"/>
            </w:tcBorders>
          </w:tcPr>
          <w:p w:rsidR="00D03E57" w:rsidRDefault="00D03E57" w:rsidP="00A102CE">
            <w:pPr>
              <w:spacing w:after="120"/>
              <w:rPr>
                <w:bCs/>
              </w:rPr>
            </w:pPr>
            <w:r>
              <w:rPr>
                <w:bCs/>
                <w:noProof/>
              </w:rPr>
              <w:drawing>
                <wp:inline distT="0" distB="0" distL="0" distR="0" wp14:anchorId="479AF714" wp14:editId="1F059F6C">
                  <wp:extent cx="2827020" cy="2120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yellow bord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32201" cy="2124151"/>
                          </a:xfrm>
                          <a:prstGeom prst="rect">
                            <a:avLst/>
                          </a:prstGeom>
                        </pic:spPr>
                      </pic:pic>
                    </a:graphicData>
                  </a:graphic>
                </wp:inline>
              </w:drawing>
            </w:r>
          </w:p>
        </w:tc>
      </w:tr>
    </w:tbl>
    <w:p w:rsidR="004C26B5" w:rsidRDefault="003F4192" w:rsidP="00D03E57">
      <w:pPr>
        <w:spacing w:after="120" w:line="240" w:lineRule="auto"/>
        <w:rPr>
          <w:color w:val="0000FF"/>
          <w:u w:val="single"/>
        </w:rPr>
      </w:pPr>
      <w:r>
        <w:rPr>
          <w:bCs/>
        </w:rPr>
        <w:t xml:space="preserve">End Game References: </w:t>
      </w:r>
      <w:hyperlink r:id="rId24" w:history="1">
        <w:r w:rsidRPr="003F4192">
          <w:rPr>
            <w:color w:val="0000FF"/>
            <w:u w:val="single"/>
          </w:rPr>
          <w:t>2014 Beyond OSA</w:t>
        </w:r>
      </w:hyperlink>
      <w:r w:rsidRPr="003F4192">
        <w:t xml:space="preserve"> </w:t>
      </w:r>
      <w:hyperlink r:id="rId25" w:history="1">
        <w:r w:rsidRPr="003F4192">
          <w:rPr>
            <w:color w:val="0000FF"/>
            <w:u w:val="single"/>
          </w:rPr>
          <w:t>2014 Steele's Open Letter</w:t>
        </w:r>
      </w:hyperlink>
      <w:r w:rsidRPr="003F4192">
        <w:t xml:space="preserve"> </w:t>
      </w:r>
      <w:hyperlink r:id="rId26" w:history="1">
        <w:r w:rsidRPr="003F4192">
          <w:rPr>
            <w:color w:val="0000FF"/>
            <w:u w:val="single"/>
          </w:rPr>
          <w:t>2013 Intelligence Future</w:t>
        </w:r>
      </w:hyperlink>
    </w:p>
    <w:p w:rsidR="004C26B5" w:rsidRPr="004C26B5" w:rsidRDefault="004C26B5" w:rsidP="00D03E57">
      <w:pPr>
        <w:spacing w:after="120" w:line="240" w:lineRule="auto"/>
        <w:rPr>
          <w:color w:val="0000FF"/>
          <w:u w:val="single"/>
        </w:rPr>
      </w:pPr>
      <w:r>
        <w:rPr>
          <w:bCs/>
        </w:rPr>
        <w:t xml:space="preserve">A great deal of additional information is available at </w:t>
      </w:r>
      <w:hyperlink r:id="rId27" w:history="1">
        <w:r w:rsidRPr="004C26B5">
          <w:rPr>
            <w:rStyle w:val="Hyperlink"/>
            <w:bCs/>
          </w:rPr>
          <w:t>Phi Beta Iota the Public Intelligence Blog</w:t>
        </w:r>
      </w:hyperlink>
      <w:r>
        <w:rPr>
          <w:bCs/>
        </w:rPr>
        <w:t>. My proposal is rooted one-third in the work of others up to this point, one-third in my own original work these past 20 years, and one-third yet to be developed as part of a structured PhD program.</w:t>
      </w:r>
    </w:p>
    <w:sectPr w:rsidR="004C26B5" w:rsidRPr="004C26B5" w:rsidSect="00363212">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70" w:rsidRDefault="00B21C70" w:rsidP="00117841">
      <w:pPr>
        <w:spacing w:after="0" w:line="240" w:lineRule="auto"/>
      </w:pPr>
      <w:r>
        <w:separator/>
      </w:r>
    </w:p>
  </w:endnote>
  <w:endnote w:type="continuationSeparator" w:id="0">
    <w:p w:rsidR="00B21C70" w:rsidRDefault="00B21C70" w:rsidP="0011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30304"/>
      <w:docPartObj>
        <w:docPartGallery w:val="Page Numbers (Bottom of Page)"/>
        <w:docPartUnique/>
      </w:docPartObj>
    </w:sdtPr>
    <w:sdtEndPr/>
    <w:sdtContent>
      <w:sdt>
        <w:sdtPr>
          <w:id w:val="-1669238322"/>
          <w:docPartObj>
            <w:docPartGallery w:val="Page Numbers (Top of Page)"/>
            <w:docPartUnique/>
          </w:docPartObj>
        </w:sdtPr>
        <w:sdtEndPr/>
        <w:sdtContent>
          <w:p w:rsidR="00117841" w:rsidRDefault="001178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4F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4F1D">
              <w:rPr>
                <w:b/>
                <w:bCs/>
                <w:noProof/>
              </w:rPr>
              <w:t>5</w:t>
            </w:r>
            <w:r>
              <w:rPr>
                <w:b/>
                <w:bCs/>
                <w:sz w:val="24"/>
                <w:szCs w:val="24"/>
              </w:rPr>
              <w:fldChar w:fldCharType="end"/>
            </w:r>
          </w:p>
        </w:sdtContent>
      </w:sdt>
    </w:sdtContent>
  </w:sdt>
  <w:p w:rsidR="00117841" w:rsidRDefault="0011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70" w:rsidRDefault="00B21C70" w:rsidP="00117841">
      <w:pPr>
        <w:spacing w:after="0" w:line="240" w:lineRule="auto"/>
      </w:pPr>
      <w:r>
        <w:separator/>
      </w:r>
    </w:p>
  </w:footnote>
  <w:footnote w:type="continuationSeparator" w:id="0">
    <w:p w:rsidR="00B21C70" w:rsidRDefault="00B21C70" w:rsidP="0011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41" w:rsidRDefault="00117841">
    <w:pPr>
      <w:pStyle w:val="Header"/>
    </w:pPr>
    <w:r>
      <w:t>Robert David Steele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3E79"/>
    <w:multiLevelType w:val="multilevel"/>
    <w:tmpl w:val="D438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B7CEC"/>
    <w:multiLevelType w:val="hybridMultilevel"/>
    <w:tmpl w:val="66AA0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68"/>
    <w:rsid w:val="00010067"/>
    <w:rsid w:val="0001090B"/>
    <w:rsid w:val="00025A7D"/>
    <w:rsid w:val="0007455D"/>
    <w:rsid w:val="000A01DF"/>
    <w:rsid w:val="000A5984"/>
    <w:rsid w:val="000B10BE"/>
    <w:rsid w:val="000B2068"/>
    <w:rsid w:val="000C5A68"/>
    <w:rsid w:val="000D2C86"/>
    <w:rsid w:val="000D7693"/>
    <w:rsid w:val="000E39D8"/>
    <w:rsid w:val="000F1259"/>
    <w:rsid w:val="0011161B"/>
    <w:rsid w:val="00117841"/>
    <w:rsid w:val="001275B6"/>
    <w:rsid w:val="00155F8A"/>
    <w:rsid w:val="00174774"/>
    <w:rsid w:val="001C16C6"/>
    <w:rsid w:val="001E0EC5"/>
    <w:rsid w:val="00211FEC"/>
    <w:rsid w:val="002403D5"/>
    <w:rsid w:val="0024662C"/>
    <w:rsid w:val="002C1F38"/>
    <w:rsid w:val="002E4AAA"/>
    <w:rsid w:val="00335A26"/>
    <w:rsid w:val="00351A53"/>
    <w:rsid w:val="00363212"/>
    <w:rsid w:val="003B0E29"/>
    <w:rsid w:val="003F4192"/>
    <w:rsid w:val="004114CB"/>
    <w:rsid w:val="0045754F"/>
    <w:rsid w:val="004576B2"/>
    <w:rsid w:val="00462688"/>
    <w:rsid w:val="004708A9"/>
    <w:rsid w:val="00473E47"/>
    <w:rsid w:val="004C26B5"/>
    <w:rsid w:val="004D0DA0"/>
    <w:rsid w:val="004E2E05"/>
    <w:rsid w:val="00522ACA"/>
    <w:rsid w:val="0053236D"/>
    <w:rsid w:val="0053266E"/>
    <w:rsid w:val="00552FBA"/>
    <w:rsid w:val="00555173"/>
    <w:rsid w:val="005703A2"/>
    <w:rsid w:val="005E446E"/>
    <w:rsid w:val="005E4B9D"/>
    <w:rsid w:val="005F6A96"/>
    <w:rsid w:val="006155F3"/>
    <w:rsid w:val="00635616"/>
    <w:rsid w:val="006363F3"/>
    <w:rsid w:val="0065385E"/>
    <w:rsid w:val="006764B7"/>
    <w:rsid w:val="006A02AA"/>
    <w:rsid w:val="006C63BB"/>
    <w:rsid w:val="006D08FC"/>
    <w:rsid w:val="006F15C3"/>
    <w:rsid w:val="00710210"/>
    <w:rsid w:val="00714548"/>
    <w:rsid w:val="007172B6"/>
    <w:rsid w:val="00730C5D"/>
    <w:rsid w:val="007564BA"/>
    <w:rsid w:val="0075717E"/>
    <w:rsid w:val="00784ED9"/>
    <w:rsid w:val="007C2D28"/>
    <w:rsid w:val="007C2E6F"/>
    <w:rsid w:val="007D0A5F"/>
    <w:rsid w:val="008170A7"/>
    <w:rsid w:val="00822CC3"/>
    <w:rsid w:val="00843DDC"/>
    <w:rsid w:val="00850E5B"/>
    <w:rsid w:val="008A1DC9"/>
    <w:rsid w:val="008D3D29"/>
    <w:rsid w:val="00906F50"/>
    <w:rsid w:val="00937B44"/>
    <w:rsid w:val="009A6AE1"/>
    <w:rsid w:val="009C18CB"/>
    <w:rsid w:val="00A00933"/>
    <w:rsid w:val="00A069FB"/>
    <w:rsid w:val="00A102CE"/>
    <w:rsid w:val="00A25671"/>
    <w:rsid w:val="00A25F71"/>
    <w:rsid w:val="00A33163"/>
    <w:rsid w:val="00A52303"/>
    <w:rsid w:val="00A55D83"/>
    <w:rsid w:val="00A8569B"/>
    <w:rsid w:val="00A95E9D"/>
    <w:rsid w:val="00AC0DE2"/>
    <w:rsid w:val="00AD6FA4"/>
    <w:rsid w:val="00AE552D"/>
    <w:rsid w:val="00B05742"/>
    <w:rsid w:val="00B21C70"/>
    <w:rsid w:val="00B31A2E"/>
    <w:rsid w:val="00B71E5F"/>
    <w:rsid w:val="00BD6A24"/>
    <w:rsid w:val="00C037E0"/>
    <w:rsid w:val="00C136B6"/>
    <w:rsid w:val="00C274A3"/>
    <w:rsid w:val="00C326B0"/>
    <w:rsid w:val="00C366CA"/>
    <w:rsid w:val="00C41E71"/>
    <w:rsid w:val="00D039DE"/>
    <w:rsid w:val="00D03E57"/>
    <w:rsid w:val="00D40143"/>
    <w:rsid w:val="00D81976"/>
    <w:rsid w:val="00D8527B"/>
    <w:rsid w:val="00DF4C41"/>
    <w:rsid w:val="00E137CB"/>
    <w:rsid w:val="00E17953"/>
    <w:rsid w:val="00E24CAF"/>
    <w:rsid w:val="00E92C52"/>
    <w:rsid w:val="00EC4F1D"/>
    <w:rsid w:val="00F35233"/>
    <w:rsid w:val="00F45D90"/>
    <w:rsid w:val="00F65AE4"/>
    <w:rsid w:val="00F65B9D"/>
    <w:rsid w:val="00FA5537"/>
    <w:rsid w:val="00FC6923"/>
    <w:rsid w:val="00FD58F0"/>
    <w:rsid w:val="00FF2643"/>
    <w:rsid w:val="00FF2B53"/>
    <w:rsid w:val="00FF6C4D"/>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53"/>
    <w:pPr>
      <w:ind w:left="720"/>
      <w:contextualSpacing/>
    </w:pPr>
  </w:style>
  <w:style w:type="table" w:styleId="TableGrid">
    <w:name w:val="Table Grid"/>
    <w:basedOn w:val="TableNormal"/>
    <w:uiPriority w:val="59"/>
    <w:rsid w:val="00E1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53"/>
    <w:rPr>
      <w:rFonts w:ascii="Tahoma" w:hAnsi="Tahoma" w:cs="Tahoma"/>
      <w:sz w:val="16"/>
      <w:szCs w:val="16"/>
    </w:rPr>
  </w:style>
  <w:style w:type="paragraph" w:styleId="Header">
    <w:name w:val="header"/>
    <w:basedOn w:val="Normal"/>
    <w:link w:val="HeaderChar"/>
    <w:uiPriority w:val="99"/>
    <w:unhideWhenUsed/>
    <w:rsid w:val="0011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41"/>
  </w:style>
  <w:style w:type="paragraph" w:styleId="Footer">
    <w:name w:val="footer"/>
    <w:basedOn w:val="Normal"/>
    <w:link w:val="FooterChar"/>
    <w:uiPriority w:val="99"/>
    <w:unhideWhenUsed/>
    <w:rsid w:val="0011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41"/>
  </w:style>
  <w:style w:type="character" w:styleId="Hyperlink">
    <w:name w:val="Hyperlink"/>
    <w:basedOn w:val="DefaultParagraphFont"/>
    <w:uiPriority w:val="99"/>
    <w:unhideWhenUsed/>
    <w:rsid w:val="00E24CAF"/>
    <w:rPr>
      <w:color w:val="0000FF" w:themeColor="hyperlink"/>
      <w:u w:val="single"/>
    </w:rPr>
  </w:style>
  <w:style w:type="paragraph" w:styleId="NormalWeb">
    <w:name w:val="Normal (Web)"/>
    <w:basedOn w:val="Normal"/>
    <w:uiPriority w:val="99"/>
    <w:semiHidden/>
    <w:unhideWhenUsed/>
    <w:rsid w:val="00FC692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53"/>
    <w:pPr>
      <w:ind w:left="720"/>
      <w:contextualSpacing/>
    </w:pPr>
  </w:style>
  <w:style w:type="table" w:styleId="TableGrid">
    <w:name w:val="Table Grid"/>
    <w:basedOn w:val="TableNormal"/>
    <w:uiPriority w:val="59"/>
    <w:rsid w:val="00E1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53"/>
    <w:rPr>
      <w:rFonts w:ascii="Tahoma" w:hAnsi="Tahoma" w:cs="Tahoma"/>
      <w:sz w:val="16"/>
      <w:szCs w:val="16"/>
    </w:rPr>
  </w:style>
  <w:style w:type="paragraph" w:styleId="Header">
    <w:name w:val="header"/>
    <w:basedOn w:val="Normal"/>
    <w:link w:val="HeaderChar"/>
    <w:uiPriority w:val="99"/>
    <w:unhideWhenUsed/>
    <w:rsid w:val="0011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41"/>
  </w:style>
  <w:style w:type="paragraph" w:styleId="Footer">
    <w:name w:val="footer"/>
    <w:basedOn w:val="Normal"/>
    <w:link w:val="FooterChar"/>
    <w:uiPriority w:val="99"/>
    <w:unhideWhenUsed/>
    <w:rsid w:val="0011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41"/>
  </w:style>
  <w:style w:type="character" w:styleId="Hyperlink">
    <w:name w:val="Hyperlink"/>
    <w:basedOn w:val="DefaultParagraphFont"/>
    <w:uiPriority w:val="99"/>
    <w:unhideWhenUsed/>
    <w:rsid w:val="00E24CAF"/>
    <w:rPr>
      <w:color w:val="0000FF" w:themeColor="hyperlink"/>
      <w:u w:val="single"/>
    </w:rPr>
  </w:style>
  <w:style w:type="paragraph" w:styleId="NormalWeb">
    <w:name w:val="Normal (Web)"/>
    <w:basedOn w:val="Normal"/>
    <w:uiPriority w:val="99"/>
    <w:semiHidden/>
    <w:unhideWhenUsed/>
    <w:rsid w:val="00FC69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182">
      <w:bodyDiv w:val="1"/>
      <w:marLeft w:val="0"/>
      <w:marRight w:val="0"/>
      <w:marTop w:val="0"/>
      <w:marBottom w:val="0"/>
      <w:divBdr>
        <w:top w:val="none" w:sz="0" w:space="0" w:color="auto"/>
        <w:left w:val="none" w:sz="0" w:space="0" w:color="auto"/>
        <w:bottom w:val="none" w:sz="0" w:space="0" w:color="auto"/>
        <w:right w:val="none" w:sz="0" w:space="0" w:color="auto"/>
      </w:divBdr>
    </w:div>
    <w:div w:id="99760482">
      <w:bodyDiv w:val="1"/>
      <w:marLeft w:val="0"/>
      <w:marRight w:val="0"/>
      <w:marTop w:val="0"/>
      <w:marBottom w:val="0"/>
      <w:divBdr>
        <w:top w:val="none" w:sz="0" w:space="0" w:color="auto"/>
        <w:left w:val="none" w:sz="0" w:space="0" w:color="auto"/>
        <w:bottom w:val="none" w:sz="0" w:space="0" w:color="auto"/>
        <w:right w:val="none" w:sz="0" w:space="0" w:color="auto"/>
      </w:divBdr>
    </w:div>
    <w:div w:id="213976534">
      <w:bodyDiv w:val="1"/>
      <w:marLeft w:val="0"/>
      <w:marRight w:val="0"/>
      <w:marTop w:val="0"/>
      <w:marBottom w:val="0"/>
      <w:divBdr>
        <w:top w:val="none" w:sz="0" w:space="0" w:color="auto"/>
        <w:left w:val="none" w:sz="0" w:space="0" w:color="auto"/>
        <w:bottom w:val="none" w:sz="0" w:space="0" w:color="auto"/>
        <w:right w:val="none" w:sz="0" w:space="0" w:color="auto"/>
      </w:divBdr>
    </w:div>
    <w:div w:id="501513011">
      <w:bodyDiv w:val="1"/>
      <w:marLeft w:val="0"/>
      <w:marRight w:val="0"/>
      <w:marTop w:val="0"/>
      <w:marBottom w:val="0"/>
      <w:divBdr>
        <w:top w:val="none" w:sz="0" w:space="0" w:color="auto"/>
        <w:left w:val="none" w:sz="0" w:space="0" w:color="auto"/>
        <w:bottom w:val="none" w:sz="0" w:space="0" w:color="auto"/>
        <w:right w:val="none" w:sz="0" w:space="0" w:color="auto"/>
      </w:divBdr>
    </w:div>
    <w:div w:id="791556087">
      <w:bodyDiv w:val="1"/>
      <w:marLeft w:val="0"/>
      <w:marRight w:val="0"/>
      <w:marTop w:val="0"/>
      <w:marBottom w:val="0"/>
      <w:divBdr>
        <w:top w:val="none" w:sz="0" w:space="0" w:color="auto"/>
        <w:left w:val="none" w:sz="0" w:space="0" w:color="auto"/>
        <w:bottom w:val="none" w:sz="0" w:space="0" w:color="auto"/>
        <w:right w:val="none" w:sz="0" w:space="0" w:color="auto"/>
      </w:divBdr>
    </w:div>
    <w:div w:id="955063652">
      <w:bodyDiv w:val="1"/>
      <w:marLeft w:val="0"/>
      <w:marRight w:val="0"/>
      <w:marTop w:val="0"/>
      <w:marBottom w:val="0"/>
      <w:divBdr>
        <w:top w:val="none" w:sz="0" w:space="0" w:color="auto"/>
        <w:left w:val="none" w:sz="0" w:space="0" w:color="auto"/>
        <w:bottom w:val="none" w:sz="0" w:space="0" w:color="auto"/>
        <w:right w:val="none" w:sz="0" w:space="0" w:color="auto"/>
      </w:divBdr>
    </w:div>
    <w:div w:id="15607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betaiota.net/reviews/" TargetMode="External"/><Relationship Id="rId13" Type="http://schemas.openxmlformats.org/officeDocument/2006/relationships/hyperlink" Target="http://www.phibetaiota.net/2012/02/preprint-for-comment-the-craft-of-intelligence/" TargetMode="External"/><Relationship Id="rId18" Type="http://schemas.openxmlformats.org/officeDocument/2006/relationships/hyperlink" Target="http://www.earth-intelligence.net/" TargetMode="External"/><Relationship Id="rId26" Type="http://schemas.openxmlformats.org/officeDocument/2006/relationships/hyperlink" Target="http://www.phibetaiota.net/2013/04/2013-robert-steele-keynote-workshop/" TargetMode="External"/><Relationship Id="rId3" Type="http://schemas.microsoft.com/office/2007/relationships/stylesWithEffects" Target="stylesWithEffects.xml"/><Relationship Id="rId21" Type="http://schemas.openxmlformats.org/officeDocument/2006/relationships/hyperlink" Target="http://www.phibetaiota.net/2013/01/2013-robert-steele-intelligence-with-integrity-decision-support-in-the-public-interest-book-seeks-donations-for-each-chapte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g"/><Relationship Id="rId25" Type="http://schemas.openxmlformats.org/officeDocument/2006/relationships/hyperlink" Target="http://www.phibetaiota.net/2014/02/2014-robert-steele-an-open-letter/"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mckinsey.com/insights/public_sector/the_rise_of_hybrid_governa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hibetaiota.net/2014/03/2014-robert-steele-beyond-the-open-source-agency-school-of-future-oriented-hybrid-governance-world-brain-institute-phd-in-comprehensive-architecture/" TargetMode="External"/><Relationship Id="rId5" Type="http://schemas.openxmlformats.org/officeDocument/2006/relationships/webSettings" Target="webSettings.xml"/><Relationship Id="rId15" Type="http://schemas.openxmlformats.org/officeDocument/2006/relationships/hyperlink" Target="http://www.routledge.com/books/details/9780415507523/" TargetMode="External"/><Relationship Id="rId23" Type="http://schemas.openxmlformats.org/officeDocument/2006/relationships/image" Target="media/image8.jpg"/><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crisismappers.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routledge.com/books/details/9780415507523/" TargetMode="External"/><Relationship Id="rId22" Type="http://schemas.openxmlformats.org/officeDocument/2006/relationships/image" Target="media/image7.jpg"/><Relationship Id="rId27" Type="http://schemas.openxmlformats.org/officeDocument/2006/relationships/hyperlink" Target="http://www.phibetaiota.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2014-04-23T19:43:00Z</dcterms:created>
  <dcterms:modified xsi:type="dcterms:W3CDTF">2014-04-23T19:43:00Z</dcterms:modified>
</cp:coreProperties>
</file>