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166" w:rsidRPr="00BB4166" w:rsidRDefault="00BB4166" w:rsidP="00BB4166">
      <w:pPr>
        <w:spacing w:after="120" w:line="240" w:lineRule="auto"/>
        <w:rPr>
          <w:b/>
        </w:rPr>
      </w:pPr>
      <w:r w:rsidRPr="00BB4166">
        <w:rPr>
          <w:b/>
        </w:rPr>
        <w:t>Proposed Legislation: The Smart Nation Act</w:t>
      </w:r>
      <w:r>
        <w:rPr>
          <w:b/>
        </w:rPr>
        <w:t xml:space="preserve"> of 2014</w:t>
      </w:r>
    </w:p>
    <w:p w:rsidR="00BB4166" w:rsidRPr="00BB4166" w:rsidRDefault="00BB4166" w:rsidP="00BB4166">
      <w:pPr>
        <w:numPr>
          <w:ilvl w:val="0"/>
          <w:numId w:val="1"/>
        </w:numPr>
        <w:spacing w:after="120" w:line="240" w:lineRule="auto"/>
      </w:pPr>
      <w:r w:rsidRPr="00BB4166">
        <w:t xml:space="preserve">Within the </w:t>
      </w:r>
      <w:r w:rsidRPr="00BB4166">
        <w:rPr>
          <w:b/>
        </w:rPr>
        <w:t>Department of State</w:t>
      </w:r>
      <w:r w:rsidRPr="00BB4166">
        <w:t xml:space="preserve">, expands the capabilities for </w:t>
      </w:r>
      <w:bookmarkStart w:id="0" w:name="_GoBack"/>
      <w:r w:rsidRPr="00BB4166">
        <w:rPr>
          <w:b/>
          <w:iCs/>
        </w:rPr>
        <w:t>Open Government, Citizen Engagement, Participatory Budgeting, Global Engagement</w:t>
      </w:r>
      <w:r w:rsidRPr="00BB4166">
        <w:rPr>
          <w:b/>
        </w:rPr>
        <w:t xml:space="preserve"> and Whole of Government</w:t>
      </w:r>
      <w:r w:rsidRPr="00BB4166">
        <w:t xml:space="preserve"> </w:t>
      </w:r>
      <w:bookmarkEnd w:id="0"/>
      <w:r w:rsidRPr="00BB4166">
        <w:t>planning, programming, and budgeting, by providing the Secretary of State with oversight authority of the Open Source Agency (OSA) and the Office of Information Sharing Treaties and Agreements.</w:t>
      </w:r>
    </w:p>
    <w:p w:rsidR="00BB4166" w:rsidRPr="00BB4166" w:rsidRDefault="00BB4166" w:rsidP="00BB4166">
      <w:pPr>
        <w:numPr>
          <w:ilvl w:val="0"/>
          <w:numId w:val="1"/>
        </w:numPr>
        <w:spacing w:after="120" w:line="240" w:lineRule="auto"/>
      </w:pPr>
      <w:r w:rsidRPr="00BB4166">
        <w:t xml:space="preserve">Creates an </w:t>
      </w:r>
      <w:r w:rsidRPr="00BB4166">
        <w:rPr>
          <w:b/>
        </w:rPr>
        <w:t>Open Source Agency (OSA),</w:t>
      </w:r>
      <w:r w:rsidRPr="00BB4166">
        <w:t xml:space="preserve"> redirecting the necessary funds on a non-reimbursable basis from Program 50 to Program 150, as a sister-agency to the Broadcasting Board of Governors (BBG), with the same arms-length independence that Congress wisely mandated to assure journalist independence, but in this case, to assure the integrity of public intelligence in the public interest across Whole of Government and in all exchanges with foreign and non-governmental entities.  The small Headquarters will be constructed on the </w:t>
      </w:r>
      <w:r w:rsidRPr="00BB4166">
        <w:rPr>
          <w:b/>
        </w:rPr>
        <w:t>South-Central Campus</w:t>
      </w:r>
      <w:r w:rsidRPr="00BB4166">
        <w:t xml:space="preserve">, adjacent to both the </w:t>
      </w:r>
      <w:r w:rsidRPr="00BB4166">
        <w:rPr>
          <w:b/>
        </w:rPr>
        <w:t>U.S. Institute of Peace (USIP)</w:t>
      </w:r>
      <w:r w:rsidRPr="00BB4166">
        <w:t xml:space="preserve">, which could serve as a partner in global </w:t>
      </w:r>
      <w:r w:rsidRPr="00BB4166">
        <w:rPr>
          <w:b/>
        </w:rPr>
        <w:t>information peacekeeping</w:t>
      </w:r>
      <w:r w:rsidRPr="00BB4166">
        <w:t>, and to George Washington University as well as the John F. Kennedy Center conference and parking facilities.  All information obtained by open means will be a public good and a copy also provided as acquired to the Director of National Intelligence (DNI), who shall make no claim on the disposition of original open sources and methods.  The OSA will be the national proponent for Open Source Everything (OSE) across the education, intelligence (decision-support) and research sectors.</w:t>
      </w:r>
    </w:p>
    <w:p w:rsidR="00BB4166" w:rsidRPr="00BB4166" w:rsidRDefault="00BB4166" w:rsidP="00BB4166">
      <w:pPr>
        <w:numPr>
          <w:ilvl w:val="0"/>
          <w:numId w:val="1"/>
        </w:numPr>
        <w:spacing w:after="120" w:line="240" w:lineRule="auto"/>
        <w:rPr>
          <w:b/>
        </w:rPr>
      </w:pPr>
      <w:r w:rsidRPr="00BB4166">
        <w:t xml:space="preserve">Creates an </w:t>
      </w:r>
      <w:r w:rsidRPr="00BB4166">
        <w:rPr>
          <w:b/>
        </w:rPr>
        <w:t>Office of Information Sharing Treaties and Agreements</w:t>
      </w:r>
      <w:r w:rsidRPr="00BB4166">
        <w:t xml:space="preserve">, to negotiate no-cost information sharing treaties with Nations, and no-cost information sharing agreements with non-governmental and private sector organizations including universities world-wide, while also adopting OSE standards facilitating both sharing and semantic web sense-making across all languages (33 initially, 183 at full operating capability).  </w:t>
      </w:r>
    </w:p>
    <w:p w:rsidR="00BB4166" w:rsidRPr="00BB4166" w:rsidRDefault="00BB4166" w:rsidP="00BB4166">
      <w:pPr>
        <w:numPr>
          <w:ilvl w:val="0"/>
          <w:numId w:val="1"/>
        </w:numPr>
        <w:spacing w:after="120" w:line="240" w:lineRule="auto"/>
      </w:pPr>
      <w:r w:rsidRPr="00BB4166">
        <w:t xml:space="preserve">Creates a </w:t>
      </w:r>
      <w:r w:rsidRPr="00BB4166">
        <w:rPr>
          <w:b/>
        </w:rPr>
        <w:t>Multinational Warning &amp; Decision-Support Center (MWDC)</w:t>
      </w:r>
      <w:r w:rsidRPr="00BB4166">
        <w:t xml:space="preserve"> and related global information-sharing and sense-making network.</w:t>
      </w:r>
    </w:p>
    <w:p w:rsidR="00BB4166" w:rsidRPr="00BB4166" w:rsidRDefault="00BB4166" w:rsidP="00BB4166">
      <w:pPr>
        <w:numPr>
          <w:ilvl w:val="0"/>
          <w:numId w:val="1"/>
        </w:numPr>
        <w:spacing w:after="120" w:line="240" w:lineRule="auto"/>
      </w:pPr>
      <w:r w:rsidRPr="00BB4166">
        <w:t xml:space="preserve">Creates a </w:t>
      </w:r>
      <w:r w:rsidRPr="00BB4166">
        <w:rPr>
          <w:b/>
        </w:rPr>
        <w:t>Multinational Multiagency Conference Center</w:t>
      </w:r>
      <w:r w:rsidRPr="00BB4166">
        <w:t xml:space="preserve"> to serve as a foundation for local to global outreach and cross-fertilization across all education, intelligence, and research topics.</w:t>
      </w:r>
    </w:p>
    <w:p w:rsidR="00BB4166" w:rsidRPr="00BB4166" w:rsidRDefault="00BB4166" w:rsidP="00BB4166">
      <w:pPr>
        <w:numPr>
          <w:ilvl w:val="0"/>
          <w:numId w:val="1"/>
        </w:numPr>
        <w:spacing w:after="120" w:line="240" w:lineRule="auto"/>
      </w:pPr>
      <w:r w:rsidRPr="00BB4166">
        <w:t xml:space="preserve">In partnership with academic, civil society, and non-profit organizations, creates the </w:t>
      </w:r>
      <w:r w:rsidRPr="00BB4166">
        <w:rPr>
          <w:b/>
        </w:rPr>
        <w:t xml:space="preserve">World Brain Institute and the Global Game </w:t>
      </w:r>
      <w:r w:rsidRPr="00BB4166">
        <w:t>to foster whole systems true cost economics thinking.</w:t>
      </w:r>
    </w:p>
    <w:p w:rsidR="00BB4166" w:rsidRPr="00BB4166" w:rsidRDefault="00BB4166" w:rsidP="00BB4166">
      <w:pPr>
        <w:numPr>
          <w:ilvl w:val="0"/>
          <w:numId w:val="1"/>
        </w:numPr>
        <w:spacing w:after="120" w:line="240" w:lineRule="auto"/>
      </w:pPr>
      <w:r w:rsidRPr="00BB4166">
        <w:t xml:space="preserve">Creates, in partnership with a university providing accreditation and administrative services, a </w:t>
      </w:r>
      <w:r w:rsidRPr="00BB4166">
        <w:rPr>
          <w:b/>
        </w:rPr>
        <w:t>School of Future-Oriented Hybrid Governance</w:t>
      </w:r>
      <w:r w:rsidRPr="00BB4166">
        <w:t xml:space="preserve">, a </w:t>
      </w:r>
      <w:r w:rsidRPr="00BB4166">
        <w:rPr>
          <w:b/>
        </w:rPr>
        <w:t>Horizons College</w:t>
      </w:r>
      <w:r w:rsidRPr="00BB4166">
        <w:t xml:space="preserve">, and a </w:t>
      </w:r>
      <w:r w:rsidRPr="00BB4166">
        <w:rPr>
          <w:b/>
        </w:rPr>
        <w:t>Multidisciplinary Research Consortium</w:t>
      </w:r>
      <w:r w:rsidRPr="00BB4166">
        <w:t>.</w:t>
      </w:r>
    </w:p>
    <w:p w:rsidR="00BB4166" w:rsidRPr="00BB4166" w:rsidRDefault="00BB4166" w:rsidP="00BB4166">
      <w:pPr>
        <w:numPr>
          <w:ilvl w:val="0"/>
          <w:numId w:val="1"/>
        </w:numPr>
        <w:spacing w:after="120" w:line="240" w:lineRule="auto"/>
      </w:pPr>
      <w:r w:rsidRPr="00BB4166">
        <w:t xml:space="preserve">Support the </w:t>
      </w:r>
      <w:r w:rsidRPr="00BB4166">
        <w:rPr>
          <w:b/>
        </w:rPr>
        <w:t>Broadcasting Board of Governors (BBG)</w:t>
      </w:r>
      <w:r w:rsidRPr="00BB4166">
        <w:t xml:space="preserve"> with an Internet dissemination capability that offers </w:t>
      </w:r>
      <w:r w:rsidRPr="00BB4166">
        <w:rPr>
          <w:b/>
        </w:rPr>
        <w:t>free universal access to all unclassified information</w:t>
      </w:r>
      <w:r w:rsidRPr="00BB4166">
        <w:t xml:space="preserve"> acquired by the OSA, with a robust man-machine translation capability that offers </w:t>
      </w:r>
      <w:r w:rsidRPr="00BB4166">
        <w:rPr>
          <w:b/>
        </w:rPr>
        <w:t>free online education in at least 33 major languages</w:t>
      </w:r>
      <w:r w:rsidRPr="00BB4166">
        <w:t xml:space="preserve"> </w:t>
      </w:r>
      <w:r w:rsidRPr="00BB4166">
        <w:rPr>
          <w:b/>
        </w:rPr>
        <w:t>and 12 dialects of Arabic</w:t>
      </w:r>
      <w:r w:rsidRPr="00BB4166">
        <w:t xml:space="preserve"> as an important new foundation for public diplomacy and information peacekeeping.</w:t>
      </w:r>
    </w:p>
    <w:p w:rsidR="00BB4166" w:rsidRPr="00BB4166" w:rsidRDefault="00BB4166" w:rsidP="00BB4166">
      <w:pPr>
        <w:numPr>
          <w:ilvl w:val="0"/>
          <w:numId w:val="1"/>
        </w:numPr>
        <w:spacing w:after="120" w:line="240" w:lineRule="auto"/>
      </w:pPr>
      <w:r w:rsidRPr="00BB4166">
        <w:t xml:space="preserve">Supports the roles of the </w:t>
      </w:r>
      <w:r w:rsidRPr="00BB4166">
        <w:rPr>
          <w:b/>
        </w:rPr>
        <w:t>Office of Management and Budget (OMB)</w:t>
      </w:r>
      <w:r w:rsidRPr="00BB4166">
        <w:t xml:space="preserve"> and the </w:t>
      </w:r>
      <w:r w:rsidRPr="00BB4166">
        <w:rPr>
          <w:b/>
        </w:rPr>
        <w:t>General Services Administration (GSA)</w:t>
      </w:r>
      <w:r w:rsidRPr="00BB4166">
        <w:t xml:space="preserve"> as executive level partners of the Open Source Agency, with priority on decision-support from the OSA in support of all federal needs of common concern.</w:t>
      </w:r>
    </w:p>
    <w:p w:rsidR="00BB4166" w:rsidRDefault="00BB4166" w:rsidP="00BB4166">
      <w:pPr>
        <w:numPr>
          <w:ilvl w:val="0"/>
          <w:numId w:val="1"/>
        </w:numPr>
        <w:spacing w:after="120" w:line="240" w:lineRule="auto"/>
      </w:pPr>
      <w:r w:rsidRPr="00BB4166">
        <w:t xml:space="preserve">Expands and enhances the role of the </w:t>
      </w:r>
      <w:r w:rsidRPr="00BB4166">
        <w:rPr>
          <w:b/>
        </w:rPr>
        <w:t>Congressional Research Service (CRS)</w:t>
      </w:r>
      <w:r w:rsidRPr="00BB4166">
        <w:t xml:space="preserve"> and the </w:t>
      </w:r>
      <w:r w:rsidRPr="00BB4166">
        <w:rPr>
          <w:b/>
        </w:rPr>
        <w:t>General Accountability Office (GAO)</w:t>
      </w:r>
      <w:r w:rsidRPr="00BB4166">
        <w:t xml:space="preserve"> with direct access to all available information, advanced analytic processing tools, and sufficient personnel to provide each jurisdiction of Congress with unclassified decision-support that can be shared with constituents and the media.  –o–</w:t>
      </w:r>
    </w:p>
    <w:sectPr w:rsidR="00BB4166" w:rsidSect="00BB4166">
      <w:headerReference w:type="default" r:id="rId6"/>
      <w:footerReference w:type="default" r:id="rId7"/>
      <w:pgSz w:w="12240" w:h="15840" w:code="1"/>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FF3" w:rsidRDefault="00BB4166">
    <w:pPr>
      <w:pStyle w:val="Footer"/>
    </w:pPr>
    <w:r>
      <w:t xml:space="preserve">Oakton, VA: Robert Steele Cell: 571.455.2883 Email: </w:t>
    </w:r>
    <w:hyperlink r:id="rId1" w:history="1">
      <w:r w:rsidRPr="003B7DEC">
        <w:rPr>
          <w:rStyle w:val="Hyperlink"/>
        </w:rPr>
        <w:t>robert.david.steele.vivas@gmail.com</w:t>
      </w:r>
    </w:hyperlink>
    <w: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sz w:val="28"/>
        <w:szCs w:val="28"/>
      </w:rPr>
      <w:id w:val="1477648756"/>
      <w:docPartObj>
        <w:docPartGallery w:val="Page Numbers (Top of Page)"/>
        <w:docPartUnique/>
      </w:docPartObj>
    </w:sdtPr>
    <w:sdtEndPr/>
    <w:sdtContent>
      <w:p w:rsidR="00ED3FF3" w:rsidRPr="00ED3FF3" w:rsidRDefault="00BB4166">
        <w:pPr>
          <w:pStyle w:val="Header"/>
          <w:jc w:val="right"/>
          <w:rPr>
            <w:b/>
            <w:sz w:val="28"/>
            <w:szCs w:val="28"/>
          </w:rPr>
        </w:pPr>
        <w:r w:rsidRPr="00ED3FF3">
          <w:rPr>
            <w:b/>
            <w:sz w:val="28"/>
            <w:szCs w:val="28"/>
          </w:rPr>
          <w:t xml:space="preserve">Page </w:t>
        </w:r>
        <w:r w:rsidRPr="00ED3FF3">
          <w:rPr>
            <w:b/>
            <w:bCs/>
            <w:sz w:val="28"/>
            <w:szCs w:val="28"/>
          </w:rPr>
          <w:fldChar w:fldCharType="begin"/>
        </w:r>
        <w:r w:rsidRPr="00ED3FF3">
          <w:rPr>
            <w:b/>
            <w:bCs/>
            <w:sz w:val="28"/>
            <w:szCs w:val="28"/>
          </w:rPr>
          <w:instrText xml:space="preserve"> PAGE </w:instrText>
        </w:r>
        <w:r w:rsidRPr="00ED3FF3">
          <w:rPr>
            <w:b/>
            <w:bCs/>
            <w:sz w:val="28"/>
            <w:szCs w:val="28"/>
          </w:rPr>
          <w:fldChar w:fldCharType="separate"/>
        </w:r>
        <w:r>
          <w:rPr>
            <w:b/>
            <w:bCs/>
            <w:noProof/>
            <w:sz w:val="28"/>
            <w:szCs w:val="28"/>
          </w:rPr>
          <w:t>1</w:t>
        </w:r>
        <w:r w:rsidRPr="00ED3FF3">
          <w:rPr>
            <w:b/>
            <w:bCs/>
            <w:sz w:val="28"/>
            <w:szCs w:val="28"/>
          </w:rPr>
          <w:fldChar w:fldCharType="end"/>
        </w:r>
        <w:r w:rsidRPr="00ED3FF3">
          <w:rPr>
            <w:b/>
            <w:sz w:val="28"/>
            <w:szCs w:val="28"/>
          </w:rPr>
          <w:t xml:space="preserve"> of </w:t>
        </w:r>
        <w:r w:rsidRPr="00ED3FF3">
          <w:rPr>
            <w:b/>
            <w:bCs/>
            <w:sz w:val="28"/>
            <w:szCs w:val="28"/>
          </w:rPr>
          <w:fldChar w:fldCharType="begin"/>
        </w:r>
        <w:r w:rsidRPr="00ED3FF3">
          <w:rPr>
            <w:b/>
            <w:bCs/>
            <w:sz w:val="28"/>
            <w:szCs w:val="28"/>
          </w:rPr>
          <w:instrText xml:space="preserve"> NUMPAGES  </w:instrText>
        </w:r>
        <w:r w:rsidRPr="00ED3FF3">
          <w:rPr>
            <w:b/>
            <w:bCs/>
            <w:sz w:val="28"/>
            <w:szCs w:val="28"/>
          </w:rPr>
          <w:fldChar w:fldCharType="separate"/>
        </w:r>
        <w:r>
          <w:rPr>
            <w:b/>
            <w:bCs/>
            <w:noProof/>
            <w:sz w:val="28"/>
            <w:szCs w:val="28"/>
          </w:rPr>
          <w:t>1</w:t>
        </w:r>
        <w:r w:rsidRPr="00ED3FF3">
          <w:rPr>
            <w:b/>
            <w:bCs/>
            <w:sz w:val="28"/>
            <w:szCs w:val="28"/>
          </w:rPr>
          <w:fldChar w:fldCharType="end"/>
        </w:r>
      </w:p>
    </w:sdtContent>
  </w:sdt>
  <w:p w:rsidR="00ED3FF3" w:rsidRDefault="00BB41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D77B77"/>
    <w:multiLevelType w:val="hybridMultilevel"/>
    <w:tmpl w:val="C532852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166"/>
    <w:rsid w:val="00363212"/>
    <w:rsid w:val="00BB4166"/>
    <w:rsid w:val="00FD5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41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4166"/>
  </w:style>
  <w:style w:type="paragraph" w:styleId="Footer">
    <w:name w:val="footer"/>
    <w:basedOn w:val="Normal"/>
    <w:link w:val="FooterChar"/>
    <w:uiPriority w:val="99"/>
    <w:unhideWhenUsed/>
    <w:rsid w:val="00BB41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4166"/>
  </w:style>
  <w:style w:type="character" w:styleId="Hyperlink">
    <w:name w:val="Hyperlink"/>
    <w:basedOn w:val="DefaultParagraphFont"/>
    <w:uiPriority w:val="99"/>
    <w:unhideWhenUsed/>
    <w:rsid w:val="00BB416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41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4166"/>
  </w:style>
  <w:style w:type="paragraph" w:styleId="Footer">
    <w:name w:val="footer"/>
    <w:basedOn w:val="Normal"/>
    <w:link w:val="FooterChar"/>
    <w:uiPriority w:val="99"/>
    <w:unhideWhenUsed/>
    <w:rsid w:val="00BB41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4166"/>
  </w:style>
  <w:style w:type="character" w:styleId="Hyperlink">
    <w:name w:val="Hyperlink"/>
    <w:basedOn w:val="DefaultParagraphFont"/>
    <w:uiPriority w:val="99"/>
    <w:unhideWhenUsed/>
    <w:rsid w:val="00BB41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robert.david.steele.viva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556</Words>
  <Characters>3171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RobertSteele</dc:creator>
  <cp:lastModifiedBy>RobertSteele</cp:lastModifiedBy>
  <cp:revision>1</cp:revision>
  <dcterms:created xsi:type="dcterms:W3CDTF">2014-12-11T15:46:00Z</dcterms:created>
  <dcterms:modified xsi:type="dcterms:W3CDTF">2014-12-11T15:48:00Z</dcterms:modified>
</cp:coreProperties>
</file>