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99DB2" w14:textId="55EABBB2" w:rsidR="00846558" w:rsidRPr="00846558" w:rsidRDefault="00B21112" w:rsidP="00846558">
      <w:pPr>
        <w:rPr>
          <w:rFonts w:cstheme="minorHAnsi"/>
          <w:b/>
        </w:rPr>
      </w:pPr>
      <w:r w:rsidRPr="00846558">
        <w:rPr>
          <w:rFonts w:cstheme="minorHAnsi"/>
          <w:b/>
          <w:noProof/>
        </w:rPr>
        <w:drawing>
          <wp:anchor distT="0" distB="0" distL="114300" distR="114300" simplePos="0" relativeHeight="251658240" behindDoc="1" locked="0" layoutInCell="1" allowOverlap="1" wp14:anchorId="306909A3" wp14:editId="415E3381">
            <wp:simplePos x="914400" y="914400"/>
            <wp:positionH relativeFrom="column">
              <wp:align>left</wp:align>
            </wp:positionH>
            <wp:positionV relativeFrom="paragraph">
              <wp:posOffset>0</wp:posOffset>
            </wp:positionV>
            <wp:extent cx="2377440" cy="2386584"/>
            <wp:effectExtent l="0" t="0" r="3810" b="0"/>
            <wp:wrapTight wrapText="bothSides">
              <wp:wrapPolygon edited="0">
                <wp:start x="0" y="0"/>
                <wp:lineTo x="0" y="21382"/>
                <wp:lineTo x="21462" y="21382"/>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Report on Sandy Hook .jpg"/>
                    <pic:cNvPicPr/>
                  </pic:nvPicPr>
                  <pic:blipFill>
                    <a:blip r:embed="rId8">
                      <a:extLst>
                        <a:ext uri="{28A0092B-C50C-407E-A947-70E740481C1C}">
                          <a14:useLocalDpi xmlns:a14="http://schemas.microsoft.com/office/drawing/2010/main" val="0"/>
                        </a:ext>
                      </a:extLst>
                    </a:blip>
                    <a:stretch>
                      <a:fillRect/>
                    </a:stretch>
                  </pic:blipFill>
                  <pic:spPr>
                    <a:xfrm>
                      <a:off x="0" y="0"/>
                      <a:ext cx="2377440" cy="2386584"/>
                    </a:xfrm>
                    <a:prstGeom prst="rect">
                      <a:avLst/>
                    </a:prstGeom>
                  </pic:spPr>
                </pic:pic>
              </a:graphicData>
            </a:graphic>
            <wp14:sizeRelH relativeFrom="margin">
              <wp14:pctWidth>0</wp14:pctWidth>
            </wp14:sizeRelH>
            <wp14:sizeRelV relativeFrom="margin">
              <wp14:pctHeight>0</wp14:pctHeight>
            </wp14:sizeRelV>
          </wp:anchor>
        </w:drawing>
      </w:r>
      <w:r w:rsidR="00846558" w:rsidRPr="00846558">
        <w:rPr>
          <w:rFonts w:cstheme="minorHAnsi"/>
          <w:b/>
        </w:rPr>
        <w:t>Sterling Harwood: In Solidarity with Alex Jones – The Final Report on Sandy Hook: A Complete and Total Forensic Failure</w:t>
      </w:r>
    </w:p>
    <w:p w14:paraId="3153701C" w14:textId="77777777" w:rsidR="00846558" w:rsidRPr="00846558" w:rsidRDefault="00846558" w:rsidP="00846558">
      <w:pPr>
        <w:rPr>
          <w:rFonts w:cstheme="minorHAnsi"/>
        </w:rPr>
      </w:pPr>
      <w:r w:rsidRPr="00846558">
        <w:rPr>
          <w:rFonts w:cstheme="minorHAnsi"/>
        </w:rPr>
        <w:t>Mr. President,</w:t>
      </w:r>
    </w:p>
    <w:p w14:paraId="4A06E3AE" w14:textId="29774383" w:rsidR="001F276F" w:rsidRPr="00B21112" w:rsidRDefault="00C3447D">
      <w:pPr>
        <w:rPr>
          <w:rFonts w:cstheme="minorHAnsi"/>
        </w:rPr>
      </w:pPr>
      <w:r w:rsidRPr="00B21112">
        <w:rPr>
          <w:rFonts w:cstheme="minorHAnsi"/>
        </w:rPr>
        <w:t xml:space="preserve">Page </w:t>
      </w:r>
      <w:r w:rsidR="000B5DB5" w:rsidRPr="00B21112">
        <w:rPr>
          <w:rFonts w:cstheme="minorHAnsi"/>
        </w:rPr>
        <w:t>1</w:t>
      </w:r>
      <w:r w:rsidR="00B21112">
        <w:rPr>
          <w:rFonts w:cstheme="minorHAnsi"/>
        </w:rPr>
        <w:t xml:space="preserve"> of the ‘</w:t>
      </w:r>
      <w:r w:rsidRPr="00B21112">
        <w:rPr>
          <w:rFonts w:cstheme="minorHAnsi"/>
        </w:rPr>
        <w:t>Report</w:t>
      </w:r>
      <w:r w:rsidR="00B21112">
        <w:rPr>
          <w:rFonts w:cstheme="minorHAnsi"/>
        </w:rPr>
        <w:t xml:space="preserve"> of the State’s Attorney for the District of Danbury</w:t>
      </w:r>
      <w:r w:rsidRPr="00B21112">
        <w:rPr>
          <w:rFonts w:cstheme="minorHAnsi"/>
        </w:rPr>
        <w:t xml:space="preserve"> on </w:t>
      </w:r>
      <w:r w:rsidR="00B21112">
        <w:rPr>
          <w:rFonts w:cstheme="minorHAnsi"/>
        </w:rPr>
        <w:t xml:space="preserve">the Shootings at </w:t>
      </w:r>
      <w:r w:rsidRPr="00B21112">
        <w:rPr>
          <w:rFonts w:cstheme="minorHAnsi"/>
        </w:rPr>
        <w:t xml:space="preserve">Sandy Hook </w:t>
      </w:r>
      <w:r w:rsidR="00B21112">
        <w:rPr>
          <w:rFonts w:cstheme="minorHAnsi"/>
        </w:rPr>
        <w:t>Elementary School and 26 Yogananda Street, Newtown, Connecticut on Decem</w:t>
      </w:r>
      <w:r w:rsidR="00DE07EF">
        <w:rPr>
          <w:rFonts w:cstheme="minorHAnsi"/>
        </w:rPr>
        <w:t>b</w:t>
      </w:r>
      <w:r w:rsidR="00B21112">
        <w:rPr>
          <w:rFonts w:cstheme="minorHAnsi"/>
        </w:rPr>
        <w:t>er 14, 2012” (linked below)</w:t>
      </w:r>
      <w:r w:rsidR="006A573E" w:rsidRPr="00B21112">
        <w:rPr>
          <w:rFonts w:cstheme="minorHAnsi"/>
        </w:rPr>
        <w:t xml:space="preserve"> </w:t>
      </w:r>
      <w:r w:rsidR="00B21112">
        <w:rPr>
          <w:rFonts w:cstheme="minorHAnsi"/>
        </w:rPr>
        <w:t>includes a</w:t>
      </w:r>
      <w:r w:rsidRPr="00B21112">
        <w:rPr>
          <w:rFonts w:cstheme="minorHAnsi"/>
        </w:rPr>
        <w:t xml:space="preserve"> disclaimer that it lacks the intent to </w:t>
      </w:r>
      <w:r w:rsidR="000E3A34" w:rsidRPr="00B21112">
        <w:rPr>
          <w:rFonts w:cstheme="minorHAnsi"/>
        </w:rPr>
        <w:t xml:space="preserve">convey </w:t>
      </w:r>
      <w:r w:rsidR="00B21112">
        <w:rPr>
          <w:rFonts w:cstheme="minorHAnsi"/>
        </w:rPr>
        <w:t xml:space="preserve">all the facts. </w:t>
      </w:r>
      <w:r w:rsidRPr="00B21112">
        <w:rPr>
          <w:rFonts w:cstheme="minorHAnsi"/>
        </w:rPr>
        <w:t>But do</w:t>
      </w:r>
      <w:r w:rsidR="001F276F" w:rsidRPr="00B21112">
        <w:rPr>
          <w:rFonts w:cstheme="minorHAnsi"/>
        </w:rPr>
        <w:t>es</w:t>
      </w:r>
      <w:r w:rsidR="00421050">
        <w:rPr>
          <w:rFonts w:cstheme="minorHAnsi"/>
        </w:rPr>
        <w:t xml:space="preserve"> the R</w:t>
      </w:r>
      <w:r w:rsidRPr="00B21112">
        <w:rPr>
          <w:rFonts w:cstheme="minorHAnsi"/>
        </w:rPr>
        <w:t>eport connect the dots</w:t>
      </w:r>
      <w:r w:rsidR="001F276F" w:rsidRPr="00B21112">
        <w:rPr>
          <w:rFonts w:cstheme="minorHAnsi"/>
        </w:rPr>
        <w:t xml:space="preserve"> </w:t>
      </w:r>
      <w:r w:rsidR="00DE07EF">
        <w:rPr>
          <w:rFonts w:cstheme="minorHAnsi"/>
        </w:rPr>
        <w:t xml:space="preserve">between shooter and </w:t>
      </w:r>
      <w:r w:rsidR="00BC3015" w:rsidRPr="00B21112">
        <w:rPr>
          <w:rFonts w:cstheme="minorHAnsi"/>
        </w:rPr>
        <w:t xml:space="preserve">shots </w:t>
      </w:r>
      <w:r w:rsidR="00DE07EF">
        <w:rPr>
          <w:rFonts w:cstheme="minorHAnsi"/>
        </w:rPr>
        <w:t>sufficiently</w:t>
      </w:r>
      <w:r w:rsidR="004C4FC4" w:rsidRPr="00B21112">
        <w:rPr>
          <w:rFonts w:cstheme="minorHAnsi"/>
        </w:rPr>
        <w:t xml:space="preserve"> to show </w:t>
      </w:r>
      <w:r w:rsidR="001F276F" w:rsidRPr="00B21112">
        <w:rPr>
          <w:rFonts w:cstheme="minorHAnsi"/>
        </w:rPr>
        <w:t xml:space="preserve">– beyond a reasonable doubt – </w:t>
      </w:r>
      <w:r w:rsidR="004C4FC4" w:rsidRPr="00B21112">
        <w:rPr>
          <w:rFonts w:cstheme="minorHAnsi"/>
        </w:rPr>
        <w:t xml:space="preserve">that Adam Lanza </w:t>
      </w:r>
      <w:r w:rsidR="00BC3015" w:rsidRPr="00B21112">
        <w:rPr>
          <w:rFonts w:cstheme="minorHAnsi"/>
        </w:rPr>
        <w:t>was the shooter and the only sho</w:t>
      </w:r>
      <w:r w:rsidR="005A00AF" w:rsidRPr="00B21112">
        <w:rPr>
          <w:rFonts w:cstheme="minorHAnsi"/>
        </w:rPr>
        <w:t>o</w:t>
      </w:r>
      <w:r w:rsidR="00BC3015" w:rsidRPr="00B21112">
        <w:rPr>
          <w:rFonts w:cstheme="minorHAnsi"/>
        </w:rPr>
        <w:t>ter</w:t>
      </w:r>
      <w:r w:rsidRPr="00B21112">
        <w:rPr>
          <w:rFonts w:cstheme="minorHAnsi"/>
        </w:rPr>
        <w:t>?</w:t>
      </w:r>
      <w:r w:rsidR="001F276F" w:rsidRPr="00B21112">
        <w:rPr>
          <w:rFonts w:cstheme="minorHAnsi"/>
        </w:rPr>
        <w:t xml:space="preserve"> </w:t>
      </w:r>
      <w:r w:rsidRPr="00B21112">
        <w:rPr>
          <w:rFonts w:cstheme="minorHAnsi"/>
        </w:rPr>
        <w:t>The short answer is</w:t>
      </w:r>
      <w:r w:rsidR="00B21112">
        <w:rPr>
          <w:rFonts w:cstheme="minorHAnsi"/>
        </w:rPr>
        <w:t xml:space="preserve"> emphatically, ‘N</w:t>
      </w:r>
      <w:r w:rsidRPr="00B21112">
        <w:rPr>
          <w:rFonts w:cstheme="minorHAnsi"/>
        </w:rPr>
        <w:t>o.’</w:t>
      </w:r>
      <w:r w:rsidR="00C863BD" w:rsidRPr="00B21112">
        <w:rPr>
          <w:rFonts w:cstheme="minorHAnsi"/>
        </w:rPr>
        <w:t xml:space="preserve"> </w:t>
      </w:r>
      <w:r w:rsidR="00AB256F">
        <w:rPr>
          <w:rFonts w:cstheme="minorHAnsi"/>
        </w:rPr>
        <w:t xml:space="preserve">it establishes neither means nor motive nor opportunity and thereby amounts to a </w:t>
      </w:r>
      <w:r w:rsidR="00DE07EF">
        <w:rPr>
          <w:rFonts w:cstheme="minorHAnsi"/>
        </w:rPr>
        <w:t xml:space="preserve">complete and total forensic failure. Here are </w:t>
      </w:r>
      <w:r w:rsidR="00AB256F">
        <w:rPr>
          <w:rFonts w:cstheme="minorHAnsi"/>
        </w:rPr>
        <w:t xml:space="preserve">some of </w:t>
      </w:r>
      <w:r w:rsidR="00DE07EF">
        <w:rPr>
          <w:rFonts w:cstheme="minorHAnsi"/>
        </w:rPr>
        <w:t>the reasons</w:t>
      </w:r>
      <w:r w:rsidR="00C863BD" w:rsidRPr="00B21112">
        <w:rPr>
          <w:rFonts w:cstheme="minorHAnsi"/>
        </w:rPr>
        <w:t xml:space="preserve"> why.</w:t>
      </w:r>
    </w:p>
    <w:p w14:paraId="10AD5D63" w14:textId="011B037E" w:rsidR="00956AD6" w:rsidRPr="00B21112" w:rsidRDefault="00C3447D">
      <w:pPr>
        <w:rPr>
          <w:rFonts w:cstheme="minorHAnsi"/>
        </w:rPr>
      </w:pPr>
      <w:r w:rsidRPr="00B21112">
        <w:rPr>
          <w:rFonts w:cstheme="minorHAnsi"/>
        </w:rPr>
        <w:t xml:space="preserve">Page 5 says </w:t>
      </w:r>
      <w:r w:rsidR="004C4FC4" w:rsidRPr="00B21112">
        <w:rPr>
          <w:rFonts w:cstheme="minorHAnsi"/>
        </w:rPr>
        <w:t>Adam</w:t>
      </w:r>
      <w:r w:rsidRPr="00B21112">
        <w:rPr>
          <w:rFonts w:cstheme="minorHAnsi"/>
        </w:rPr>
        <w:t xml:space="preserve"> used</w:t>
      </w:r>
      <w:r w:rsidR="00C04B1D" w:rsidRPr="00B21112">
        <w:rPr>
          <w:rFonts w:cstheme="minorHAnsi"/>
        </w:rPr>
        <w:t xml:space="preserve"> a Bushmaster Model XM15-E2S rifle to do all of the shooting, except for shooting himself to death with a Glock 20, 10mm handgun.</w:t>
      </w:r>
      <w:r w:rsidR="00DE07EF">
        <w:rPr>
          <w:rFonts w:cstheme="minorHAnsi"/>
        </w:rPr>
        <w:t xml:space="preserve"> </w:t>
      </w:r>
      <w:r w:rsidR="007F427D" w:rsidRPr="00B21112">
        <w:rPr>
          <w:rFonts w:cstheme="minorHAnsi"/>
        </w:rPr>
        <w:t xml:space="preserve">Page 5 says </w:t>
      </w:r>
      <w:r w:rsidR="00A84073" w:rsidRPr="00B21112">
        <w:rPr>
          <w:rFonts w:cstheme="minorHAnsi"/>
        </w:rPr>
        <w:t>Adam</w:t>
      </w:r>
      <w:r w:rsidR="007F427D" w:rsidRPr="00B21112">
        <w:rPr>
          <w:rFonts w:cstheme="minorHAnsi"/>
        </w:rPr>
        <w:t>’s shooting killed 20 children and six adults and n</w:t>
      </w:r>
      <w:r w:rsidR="00DE07EF">
        <w:rPr>
          <w:rFonts w:cstheme="minorHAnsi"/>
        </w:rPr>
        <w:t xml:space="preserve">on-fatally wounded two adults. </w:t>
      </w:r>
      <w:r w:rsidR="007F427D" w:rsidRPr="00B21112">
        <w:rPr>
          <w:rFonts w:cstheme="minorHAnsi"/>
        </w:rPr>
        <w:t>So</w:t>
      </w:r>
      <w:r w:rsidR="00A72F8C" w:rsidRPr="00B21112">
        <w:rPr>
          <w:rFonts w:cstheme="minorHAnsi"/>
        </w:rPr>
        <w:t>,</w:t>
      </w:r>
      <w:r w:rsidR="00421050">
        <w:rPr>
          <w:rFonts w:cstheme="minorHAnsi"/>
        </w:rPr>
        <w:t xml:space="preserve"> there ought to</w:t>
      </w:r>
      <w:r w:rsidR="007F427D" w:rsidRPr="00B21112">
        <w:rPr>
          <w:rFonts w:cstheme="minorHAnsi"/>
        </w:rPr>
        <w:t xml:space="preserve"> be plenty of evidence</w:t>
      </w:r>
      <w:r w:rsidR="00DC3710" w:rsidRPr="00B21112">
        <w:rPr>
          <w:rFonts w:cstheme="minorHAnsi"/>
        </w:rPr>
        <w:t xml:space="preserve"> linking the shooter to the shots</w:t>
      </w:r>
      <w:r w:rsidR="007F427D" w:rsidRPr="00B21112">
        <w:rPr>
          <w:rFonts w:cstheme="minorHAnsi"/>
        </w:rPr>
        <w:t>, including witness statements from the two surviving adults.</w:t>
      </w:r>
      <w:r w:rsidR="0050077E" w:rsidRPr="00B21112">
        <w:rPr>
          <w:rFonts w:cstheme="minorHAnsi"/>
        </w:rPr>
        <w:t xml:space="preserve"> </w:t>
      </w:r>
      <w:r w:rsidR="009C5A80" w:rsidRPr="00B21112">
        <w:rPr>
          <w:rFonts w:cstheme="minorHAnsi"/>
        </w:rPr>
        <w:t xml:space="preserve">But the </w:t>
      </w:r>
      <w:r w:rsidR="00366B7A" w:rsidRPr="00B21112">
        <w:rPr>
          <w:rFonts w:cstheme="minorHAnsi"/>
        </w:rPr>
        <w:t>R</w:t>
      </w:r>
      <w:r w:rsidR="009C5A80" w:rsidRPr="00B21112">
        <w:rPr>
          <w:rFonts w:cstheme="minorHAnsi"/>
        </w:rPr>
        <w:t>eport fails to refer to any witness identifying Adam as the shooter</w:t>
      </w:r>
      <w:r w:rsidR="00421050">
        <w:rPr>
          <w:rFonts w:cstheme="minorHAnsi"/>
        </w:rPr>
        <w:t xml:space="preserve"> and even fails to have a section in the Table of C</w:t>
      </w:r>
      <w:r w:rsidR="00DE07EF">
        <w:rPr>
          <w:rFonts w:cstheme="minorHAnsi"/>
        </w:rPr>
        <w:t>ontents with the word “witness”</w:t>
      </w:r>
      <w:r w:rsidR="003F52D6" w:rsidRPr="00B21112">
        <w:rPr>
          <w:rFonts w:cstheme="minorHAnsi"/>
        </w:rPr>
        <w:t xml:space="preserve"> in it.</w:t>
      </w:r>
    </w:p>
    <w:p w14:paraId="6231F00A" w14:textId="4607A5C0" w:rsidR="00B50B8A" w:rsidRDefault="007652C9">
      <w:pPr>
        <w:rPr>
          <w:rFonts w:cstheme="minorHAnsi"/>
        </w:rPr>
      </w:pPr>
      <w:r w:rsidRPr="00B21112">
        <w:rPr>
          <w:rFonts w:cstheme="minorHAnsi"/>
        </w:rPr>
        <w:t xml:space="preserve">Page 2 says </w:t>
      </w:r>
      <w:r w:rsidR="0032487F" w:rsidRPr="00B21112">
        <w:rPr>
          <w:rFonts w:cstheme="minorHAnsi"/>
        </w:rPr>
        <w:t>t</w:t>
      </w:r>
      <w:r w:rsidR="0075188F" w:rsidRPr="00B21112">
        <w:rPr>
          <w:rFonts w:cstheme="minorHAnsi"/>
        </w:rPr>
        <w:t xml:space="preserve">he Bushmaster rifle was found in the </w:t>
      </w:r>
      <w:r w:rsidR="00280569" w:rsidRPr="00B21112">
        <w:rPr>
          <w:rFonts w:cstheme="minorHAnsi"/>
        </w:rPr>
        <w:t>same room as Adam’s corpse</w:t>
      </w:r>
      <w:r w:rsidR="001829A5" w:rsidRPr="00B21112">
        <w:rPr>
          <w:rFonts w:cstheme="minorHAnsi"/>
        </w:rPr>
        <w:t xml:space="preserve"> and that all of the 5.56</w:t>
      </w:r>
      <w:r w:rsidR="00732F64" w:rsidRPr="00B21112">
        <w:rPr>
          <w:rFonts w:cstheme="minorHAnsi"/>
        </w:rPr>
        <w:t xml:space="preserve"> </w:t>
      </w:r>
      <w:r w:rsidR="001829A5" w:rsidRPr="00B21112">
        <w:rPr>
          <w:rFonts w:cstheme="minorHAnsi"/>
        </w:rPr>
        <w:t xml:space="preserve">mm shell casings </w:t>
      </w:r>
      <w:r w:rsidR="002E5F91" w:rsidRPr="00B21112">
        <w:rPr>
          <w:rFonts w:cstheme="minorHAnsi"/>
        </w:rPr>
        <w:t xml:space="preserve">from the school that were </w:t>
      </w:r>
      <w:r w:rsidR="001829A5" w:rsidRPr="00B21112">
        <w:rPr>
          <w:rFonts w:cstheme="minorHAnsi"/>
        </w:rPr>
        <w:t>tested were from that rifle</w:t>
      </w:r>
      <w:r w:rsidR="00DE07EF">
        <w:rPr>
          <w:rFonts w:cstheme="minorHAnsi"/>
        </w:rPr>
        <w:t xml:space="preserve">. But that claim is contradicted by a crucial footnote on </w:t>
      </w:r>
      <w:r w:rsidR="0032487F" w:rsidRPr="00B21112">
        <w:rPr>
          <w:rFonts w:cstheme="minorHAnsi"/>
        </w:rPr>
        <w:t>page 37</w:t>
      </w:r>
      <w:r w:rsidR="00DE07EF">
        <w:rPr>
          <w:rFonts w:cstheme="minorHAnsi"/>
        </w:rPr>
        <w:t>, which states that “No positive identification could be made to any of the bullet evidence submissions noted . . . in 5.56 caliber. The physical condition of the bullet jacket surfaces were severely damaged and corroded. They all lacked individual striated marks of sufficient agreemen</w:t>
      </w:r>
      <w:r w:rsidR="00421050">
        <w:rPr>
          <w:rFonts w:cstheme="minorHAnsi"/>
        </w:rPr>
        <w:t>t for identification purposes”:</w:t>
      </w:r>
    </w:p>
    <w:p w14:paraId="3FC83700" w14:textId="44BF4F12" w:rsidR="00E8129B" w:rsidRPr="00B21112" w:rsidRDefault="00E8129B">
      <w:pPr>
        <w:rPr>
          <w:rFonts w:cstheme="minorHAnsi"/>
        </w:rPr>
      </w:pPr>
      <w:r>
        <w:rPr>
          <w:rFonts w:cstheme="minorHAnsi"/>
          <w:noProof/>
        </w:rPr>
        <w:drawing>
          <wp:inline distT="0" distB="0" distL="0" distR="0" wp14:anchorId="7A4941C6" wp14:editId="0E715457">
            <wp:extent cx="5842000" cy="116322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 positive identification could be made .jpg"/>
                    <pic:cNvPicPr/>
                  </pic:nvPicPr>
                  <pic:blipFill>
                    <a:blip r:embed="rId9">
                      <a:extLst>
                        <a:ext uri="{28A0092B-C50C-407E-A947-70E740481C1C}">
                          <a14:useLocalDpi xmlns:a14="http://schemas.microsoft.com/office/drawing/2010/main" val="0"/>
                        </a:ext>
                      </a:extLst>
                    </a:blip>
                    <a:stretch>
                      <a:fillRect/>
                    </a:stretch>
                  </pic:blipFill>
                  <pic:spPr>
                    <a:xfrm>
                      <a:off x="0" y="0"/>
                      <a:ext cx="5923026" cy="1179362"/>
                    </a:xfrm>
                    <a:prstGeom prst="rect">
                      <a:avLst/>
                    </a:prstGeom>
                  </pic:spPr>
                </pic:pic>
              </a:graphicData>
            </a:graphic>
          </wp:inline>
        </w:drawing>
      </w:r>
    </w:p>
    <w:p w14:paraId="40E79A7D" w14:textId="2B9631D0" w:rsidR="00C3447D" w:rsidRDefault="0050077E">
      <w:pPr>
        <w:rPr>
          <w:rFonts w:cstheme="minorHAnsi"/>
        </w:rPr>
      </w:pPr>
      <w:r w:rsidRPr="00B21112">
        <w:rPr>
          <w:rFonts w:cstheme="minorHAnsi"/>
        </w:rPr>
        <w:t>Page</w:t>
      </w:r>
      <w:r w:rsidR="001E4ED9" w:rsidRPr="00B21112">
        <w:rPr>
          <w:rFonts w:cstheme="minorHAnsi"/>
        </w:rPr>
        <w:t>s</w:t>
      </w:r>
      <w:r w:rsidRPr="00B21112">
        <w:rPr>
          <w:rFonts w:cstheme="minorHAnsi"/>
        </w:rPr>
        <w:t xml:space="preserve"> 2</w:t>
      </w:r>
      <w:r w:rsidR="001E4ED9" w:rsidRPr="00B21112">
        <w:rPr>
          <w:rFonts w:cstheme="minorHAnsi"/>
        </w:rPr>
        <w:t xml:space="preserve"> and 36</w:t>
      </w:r>
      <w:r w:rsidRPr="00B21112">
        <w:rPr>
          <w:rFonts w:cstheme="minorHAnsi"/>
        </w:rPr>
        <w:t xml:space="preserve"> </w:t>
      </w:r>
      <w:r w:rsidR="00A461D2" w:rsidRPr="00B21112">
        <w:rPr>
          <w:rFonts w:cstheme="minorHAnsi"/>
        </w:rPr>
        <w:t xml:space="preserve">admit </w:t>
      </w:r>
      <w:r w:rsidR="00421050">
        <w:rPr>
          <w:rFonts w:cstheme="minorHAnsi"/>
        </w:rPr>
        <w:t xml:space="preserve">that all </w:t>
      </w:r>
      <w:r w:rsidR="00A461D2" w:rsidRPr="00B21112">
        <w:rPr>
          <w:rFonts w:cstheme="minorHAnsi"/>
        </w:rPr>
        <w:t xml:space="preserve">the </w:t>
      </w:r>
      <w:r w:rsidR="00A84073" w:rsidRPr="00B21112">
        <w:rPr>
          <w:rFonts w:cstheme="minorHAnsi"/>
        </w:rPr>
        <w:t xml:space="preserve">relevant </w:t>
      </w:r>
      <w:r w:rsidR="00A461D2" w:rsidRPr="00B21112">
        <w:rPr>
          <w:rFonts w:cstheme="minorHAnsi"/>
        </w:rPr>
        <w:t xml:space="preserve">firearms </w:t>
      </w:r>
      <w:r w:rsidR="00A84073" w:rsidRPr="00B21112">
        <w:rPr>
          <w:rFonts w:cstheme="minorHAnsi"/>
        </w:rPr>
        <w:t xml:space="preserve">were </w:t>
      </w:r>
      <w:r w:rsidR="00DF6FA3" w:rsidRPr="00B21112">
        <w:rPr>
          <w:rFonts w:cstheme="minorHAnsi"/>
        </w:rPr>
        <w:t xml:space="preserve">legally </w:t>
      </w:r>
      <w:r w:rsidR="00A84073" w:rsidRPr="00B21112">
        <w:rPr>
          <w:rFonts w:cstheme="minorHAnsi"/>
        </w:rPr>
        <w:t>purchased by Lanza</w:t>
      </w:r>
      <w:r w:rsidR="00E8129B">
        <w:rPr>
          <w:rFonts w:cstheme="minorHAnsi"/>
        </w:rPr>
        <w:t xml:space="preserve">’s mother, Nancy, rather than by Adam. </w:t>
      </w:r>
      <w:r w:rsidR="00DF6FA3" w:rsidRPr="00B21112">
        <w:rPr>
          <w:rFonts w:cstheme="minorHAnsi"/>
        </w:rPr>
        <w:t>Page</w:t>
      </w:r>
      <w:r w:rsidR="00B3218D" w:rsidRPr="00B21112">
        <w:rPr>
          <w:rFonts w:cstheme="minorHAnsi"/>
        </w:rPr>
        <w:t>s</w:t>
      </w:r>
      <w:r w:rsidR="00DF6FA3" w:rsidRPr="00B21112">
        <w:rPr>
          <w:rFonts w:cstheme="minorHAnsi"/>
        </w:rPr>
        <w:t xml:space="preserve"> 2</w:t>
      </w:r>
      <w:r w:rsidR="00B3218D" w:rsidRPr="00B21112">
        <w:rPr>
          <w:rFonts w:cstheme="minorHAnsi"/>
        </w:rPr>
        <w:t xml:space="preserve"> and 36</w:t>
      </w:r>
      <w:r w:rsidR="00DF6FA3" w:rsidRPr="00B21112">
        <w:rPr>
          <w:rFonts w:cstheme="minorHAnsi"/>
        </w:rPr>
        <w:t xml:space="preserve"> make no cl</w:t>
      </w:r>
      <w:r w:rsidR="00421050">
        <w:rPr>
          <w:rFonts w:cstheme="minorHAnsi"/>
        </w:rPr>
        <w:t>aim about who purchased the ammunition</w:t>
      </w:r>
      <w:r w:rsidR="00DF6FA3" w:rsidRPr="00B21112">
        <w:rPr>
          <w:rFonts w:cstheme="minorHAnsi"/>
        </w:rPr>
        <w:t xml:space="preserve"> but say the mother had purchased the </w:t>
      </w:r>
      <w:r w:rsidR="00421050">
        <w:rPr>
          <w:rFonts w:cstheme="minorHAnsi"/>
        </w:rPr>
        <w:t>same type of ammunition</w:t>
      </w:r>
      <w:r w:rsidR="00E8129B">
        <w:rPr>
          <w:rFonts w:cstheme="minorHAnsi"/>
        </w:rPr>
        <w:t xml:space="preserve"> in the past. </w:t>
      </w:r>
      <w:r w:rsidR="00DF6FA3" w:rsidRPr="00B21112">
        <w:rPr>
          <w:rFonts w:cstheme="minorHAnsi"/>
        </w:rPr>
        <w:t>Page</w:t>
      </w:r>
      <w:r w:rsidR="00A1549E" w:rsidRPr="00B21112">
        <w:rPr>
          <w:rFonts w:cstheme="minorHAnsi"/>
        </w:rPr>
        <w:t>s</w:t>
      </w:r>
      <w:r w:rsidR="00DF6FA3" w:rsidRPr="00B21112">
        <w:rPr>
          <w:rFonts w:cstheme="minorHAnsi"/>
        </w:rPr>
        <w:t xml:space="preserve"> 2</w:t>
      </w:r>
      <w:r w:rsidR="00A1549E" w:rsidRPr="00B21112">
        <w:rPr>
          <w:rFonts w:cstheme="minorHAnsi"/>
        </w:rPr>
        <w:t xml:space="preserve"> and 36</w:t>
      </w:r>
      <w:r w:rsidR="00DF6FA3" w:rsidRPr="00B21112">
        <w:rPr>
          <w:rFonts w:cstheme="minorHAnsi"/>
        </w:rPr>
        <w:t xml:space="preserve"> admit </w:t>
      </w:r>
      <w:r w:rsidR="00421050">
        <w:rPr>
          <w:rFonts w:cstheme="minorHAnsi"/>
        </w:rPr>
        <w:t xml:space="preserve">that </w:t>
      </w:r>
      <w:r w:rsidR="00DF6FA3" w:rsidRPr="00B21112">
        <w:rPr>
          <w:rFonts w:cstheme="minorHAnsi"/>
        </w:rPr>
        <w:t>there is no evide</w:t>
      </w:r>
      <w:r w:rsidR="00421050">
        <w:rPr>
          <w:rFonts w:cstheme="minorHAnsi"/>
        </w:rPr>
        <w:t>nce that Adam purchased any ammunition.</w:t>
      </w:r>
    </w:p>
    <w:p w14:paraId="3E1E46C3" w14:textId="07EC19E5" w:rsidR="00E8129B" w:rsidRDefault="00421050">
      <w:pPr>
        <w:rPr>
          <w:rFonts w:cstheme="minorHAnsi"/>
        </w:rPr>
      </w:pPr>
      <w:r>
        <w:rPr>
          <w:rFonts w:cstheme="minorHAnsi"/>
        </w:rPr>
        <w:t>Page 2 claims that Adam</w:t>
      </w:r>
      <w:r w:rsidR="00E8129B">
        <w:rPr>
          <w:rFonts w:cstheme="minorHAnsi"/>
        </w:rPr>
        <w:t xml:space="preserve"> used a .22 Caliber Savage Mark II rifle to shoot and kill his mother in her bed at the home where they resided at 36 Yogananda Street in Newtown. But no substantiation is provided to support that conclusion and a photograph </w:t>
      </w:r>
      <w:r>
        <w:rPr>
          <w:rFonts w:cstheme="minorHAnsi"/>
        </w:rPr>
        <w:t xml:space="preserve">that </w:t>
      </w:r>
      <w:r w:rsidR="00E8129B">
        <w:rPr>
          <w:rFonts w:cstheme="minorHAnsi"/>
        </w:rPr>
        <w:t xml:space="preserve">we have of the Nancy Lanza bedroom (which appears as Exhibit </w:t>
      </w:r>
      <w:r w:rsidR="00D60293">
        <w:rPr>
          <w:rFonts w:cstheme="minorHAnsi"/>
        </w:rPr>
        <w:t xml:space="preserve">17 of Ch. 7, </w:t>
      </w:r>
      <w:r w:rsidR="00D60293" w:rsidRPr="00D60293">
        <w:rPr>
          <w:rFonts w:cstheme="minorHAnsi"/>
          <w:i/>
        </w:rPr>
        <w:t>Nobody Died at Sandy Hook</w:t>
      </w:r>
      <w:r w:rsidR="00D60293">
        <w:rPr>
          <w:rFonts w:cstheme="minorHAnsi"/>
        </w:rPr>
        <w:t xml:space="preserve"> (2015) contradicts that claim. </w:t>
      </w:r>
    </w:p>
    <w:p w14:paraId="2689E2FE" w14:textId="3D940D1E" w:rsidR="00D60293" w:rsidRDefault="00D60293">
      <w:pPr>
        <w:rPr>
          <w:rFonts w:cstheme="minorHAnsi"/>
        </w:rPr>
      </w:pPr>
      <w:r>
        <w:rPr>
          <w:rFonts w:cstheme="minorHAnsi"/>
          <w:noProof/>
        </w:rPr>
        <w:lastRenderedPageBreak/>
        <w:drawing>
          <wp:anchor distT="0" distB="0" distL="114300" distR="114300" simplePos="0" relativeHeight="251659264" behindDoc="1" locked="0" layoutInCell="1" allowOverlap="1" wp14:anchorId="36D1602C" wp14:editId="1061132F">
            <wp:simplePos x="914400" y="914400"/>
            <wp:positionH relativeFrom="column">
              <wp:align>right</wp:align>
            </wp:positionH>
            <wp:positionV relativeFrom="paragraph">
              <wp:posOffset>0</wp:posOffset>
            </wp:positionV>
            <wp:extent cx="3191256" cy="2029968"/>
            <wp:effectExtent l="0" t="0" r="0" b="8890"/>
            <wp:wrapTight wrapText="bothSides">
              <wp:wrapPolygon edited="0">
                <wp:start x="0" y="0"/>
                <wp:lineTo x="0" y="21492"/>
                <wp:lineTo x="21407" y="21492"/>
                <wp:lineTo x="214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ncy Lanza bedroom (Exhibit 17) .jpg"/>
                    <pic:cNvPicPr/>
                  </pic:nvPicPr>
                  <pic:blipFill>
                    <a:blip r:embed="rId10">
                      <a:extLst>
                        <a:ext uri="{28A0092B-C50C-407E-A947-70E740481C1C}">
                          <a14:useLocalDpi xmlns:a14="http://schemas.microsoft.com/office/drawing/2010/main" val="0"/>
                        </a:ext>
                      </a:extLst>
                    </a:blip>
                    <a:stretch>
                      <a:fillRect/>
                    </a:stretch>
                  </pic:blipFill>
                  <pic:spPr>
                    <a:xfrm>
                      <a:off x="0" y="0"/>
                      <a:ext cx="3191256" cy="2029968"/>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rPr>
        <w:t>While there is some red stuff on the bed, it does not appear to be blood but might be raspberry jam, as Jim Fetzer has suggested. The quantity appears to be insufficient for multiple shots to the head. And</w:t>
      </w:r>
      <w:r w:rsidR="00421050">
        <w:rPr>
          <w:rFonts w:cstheme="minorHAnsi"/>
        </w:rPr>
        <w:t>,</w:t>
      </w:r>
      <w:r>
        <w:rPr>
          <w:rFonts w:cstheme="minorHAnsi"/>
        </w:rPr>
        <w:t xml:space="preserve"> Kelley Watt, who</w:t>
      </w:r>
      <w:r w:rsidR="00421050">
        <w:rPr>
          <w:rFonts w:cstheme="minorHAnsi"/>
        </w:rPr>
        <w:t xml:space="preserve"> has her own home and commercial</w:t>
      </w:r>
      <w:r>
        <w:rPr>
          <w:rFonts w:cstheme="minorHAnsi"/>
        </w:rPr>
        <w:t xml:space="preserve"> cleaning service, noticed that they had left behind a blue moving pad beneath the leg of the bed in their apparent haste to furnish an empty home to serve as the Lanza residence, as Ch. 7 documents with 50 photographs.</w:t>
      </w:r>
    </w:p>
    <w:p w14:paraId="51D2EBDB" w14:textId="3187DA7A" w:rsidR="006B27F2" w:rsidRPr="00B21112" w:rsidRDefault="00571D16">
      <w:pPr>
        <w:rPr>
          <w:rFonts w:cstheme="minorHAnsi"/>
        </w:rPr>
      </w:pPr>
      <w:r w:rsidRPr="00B21112">
        <w:rPr>
          <w:rFonts w:cstheme="minorHAnsi"/>
        </w:rPr>
        <w:t xml:space="preserve">Regarding Adam’s motive, </w:t>
      </w:r>
      <w:r w:rsidR="00A306CB" w:rsidRPr="00B21112">
        <w:rPr>
          <w:rFonts w:cstheme="minorHAnsi"/>
        </w:rPr>
        <w:t xml:space="preserve">which </w:t>
      </w:r>
      <w:r w:rsidR="0065646B" w:rsidRPr="00B21112">
        <w:rPr>
          <w:rFonts w:cstheme="minorHAnsi"/>
        </w:rPr>
        <w:t xml:space="preserve">page 3 calls the “obvious question,” </w:t>
      </w:r>
      <w:r w:rsidRPr="00B21112">
        <w:rPr>
          <w:rFonts w:cstheme="minorHAnsi"/>
        </w:rPr>
        <w:t xml:space="preserve">page 3 admits “there is no clear indication why he did so, or why he targeted </w:t>
      </w:r>
      <w:r w:rsidR="00E8129B">
        <w:rPr>
          <w:rFonts w:cstheme="minorHAnsi"/>
        </w:rPr>
        <w:t xml:space="preserve">Sandy Hook Elementary School.” </w:t>
      </w:r>
      <w:r w:rsidR="00AB256F">
        <w:rPr>
          <w:rFonts w:cstheme="minorHAnsi"/>
        </w:rPr>
        <w:t>It even claims that</w:t>
      </w:r>
      <w:r w:rsidRPr="00B21112">
        <w:rPr>
          <w:rFonts w:cstheme="minorHAnsi"/>
        </w:rPr>
        <w:t xml:space="preserve"> the question of why Adam murdered</w:t>
      </w:r>
      <w:r w:rsidR="009F1866" w:rsidRPr="00B21112">
        <w:rPr>
          <w:rFonts w:cstheme="minorHAnsi"/>
        </w:rPr>
        <w:t xml:space="preserve"> </w:t>
      </w:r>
      <w:r w:rsidR="00AB256F">
        <w:rPr>
          <w:rFonts w:cstheme="minorHAnsi"/>
        </w:rPr>
        <w:t xml:space="preserve">20 children and six adults (as well as his mother) </w:t>
      </w:r>
      <w:r w:rsidR="009F1866" w:rsidRPr="00B21112">
        <w:rPr>
          <w:rFonts w:cstheme="minorHAnsi"/>
        </w:rPr>
        <w:t>“may never be answered conclusively, despite the collection of extensive background information on the shooter through a multitude of interviews and other sources.”</w:t>
      </w:r>
      <w:r w:rsidR="00885CB3" w:rsidRPr="00B21112">
        <w:rPr>
          <w:rFonts w:cstheme="minorHAnsi"/>
        </w:rPr>
        <w:t xml:space="preserve"> </w:t>
      </w:r>
    </w:p>
    <w:p w14:paraId="2CA40918" w14:textId="419FB881" w:rsidR="00E8129B" w:rsidRDefault="00AB256F">
      <w:pPr>
        <w:rPr>
          <w:rFonts w:cstheme="minorHAnsi"/>
        </w:rPr>
      </w:pPr>
      <w:r>
        <w:rPr>
          <w:rFonts w:cstheme="minorHAnsi"/>
        </w:rPr>
        <w:t xml:space="preserve">Page 3 maintains </w:t>
      </w:r>
      <w:r w:rsidR="00885CB3" w:rsidRPr="00B21112">
        <w:rPr>
          <w:rFonts w:cstheme="minorHAnsi"/>
        </w:rPr>
        <w:t>that “The evidence clearly shows that the shooter planned his actions …”</w:t>
      </w:r>
      <w:r w:rsidR="00421050">
        <w:rPr>
          <w:rFonts w:cstheme="minorHAnsi"/>
        </w:rPr>
        <w:t>,</w:t>
      </w:r>
      <w:r w:rsidR="00885CB3" w:rsidRPr="00B21112">
        <w:rPr>
          <w:rFonts w:cstheme="minorHAnsi"/>
        </w:rPr>
        <w:t xml:space="preserve"> but it fails to specify that evidence.  Instead, the Report continues by highlighting </w:t>
      </w:r>
      <w:r w:rsidR="00C863BD" w:rsidRPr="00B21112">
        <w:rPr>
          <w:rFonts w:cstheme="minorHAnsi"/>
        </w:rPr>
        <w:t>Adam’s</w:t>
      </w:r>
      <w:r w:rsidR="00885CB3" w:rsidRPr="00B21112">
        <w:rPr>
          <w:rFonts w:cstheme="minorHAnsi"/>
        </w:rPr>
        <w:t xml:space="preserve"> severe mental illne</w:t>
      </w:r>
      <w:r w:rsidR="00C863BD" w:rsidRPr="00B21112">
        <w:rPr>
          <w:rFonts w:cstheme="minorHAnsi"/>
        </w:rPr>
        <w:t>ss, which surely seems to be a major obstacle to planning a complex series of crimes against a protected target</w:t>
      </w:r>
      <w:r w:rsidR="00421050">
        <w:rPr>
          <w:rFonts w:cstheme="minorHAnsi"/>
        </w:rPr>
        <w:t>,</w:t>
      </w:r>
      <w:r w:rsidR="00C863BD" w:rsidRPr="00B21112">
        <w:rPr>
          <w:rFonts w:cstheme="minorHAnsi"/>
        </w:rPr>
        <w:t xml:space="preserve"> such as a school with locked doors, fire alarms, phones, security cameras</w:t>
      </w:r>
      <w:r w:rsidR="002E74D4" w:rsidRPr="00B21112">
        <w:rPr>
          <w:rFonts w:cstheme="minorHAnsi"/>
        </w:rPr>
        <w:t xml:space="preserve"> posted in plain sight</w:t>
      </w:r>
      <w:r w:rsidR="00421050">
        <w:rPr>
          <w:rFonts w:cstheme="minorHAnsi"/>
        </w:rPr>
        <w:t>,</w:t>
      </w:r>
      <w:r>
        <w:rPr>
          <w:rFonts w:cstheme="minorHAnsi"/>
        </w:rPr>
        <w:t xml:space="preserve"> and such.</w:t>
      </w:r>
      <w:r w:rsidR="00E8129B">
        <w:rPr>
          <w:rFonts w:cstheme="minorHAnsi"/>
        </w:rPr>
        <w:t xml:space="preserve"> </w:t>
      </w:r>
    </w:p>
    <w:p w14:paraId="45E1731D" w14:textId="123385E3" w:rsidR="004046FB" w:rsidRPr="00B21112" w:rsidRDefault="00097D73">
      <w:pPr>
        <w:rPr>
          <w:rFonts w:cstheme="minorHAnsi"/>
        </w:rPr>
      </w:pPr>
      <w:r w:rsidRPr="00B21112">
        <w:rPr>
          <w:rFonts w:cstheme="minorHAnsi"/>
        </w:rPr>
        <w:t xml:space="preserve">Page </w:t>
      </w:r>
      <w:r w:rsidR="00BF0F76" w:rsidRPr="00B21112">
        <w:rPr>
          <w:rFonts w:cstheme="minorHAnsi"/>
        </w:rPr>
        <w:t>2</w:t>
      </w:r>
      <w:r w:rsidRPr="00B21112">
        <w:rPr>
          <w:rFonts w:cstheme="minorHAnsi"/>
        </w:rPr>
        <w:t xml:space="preserve"> admits no eviden</w:t>
      </w:r>
      <w:r w:rsidR="00BF0F76" w:rsidRPr="00B21112">
        <w:rPr>
          <w:rFonts w:cstheme="minorHAnsi"/>
        </w:rPr>
        <w:t xml:space="preserve">ce suggests </w:t>
      </w:r>
      <w:r w:rsidRPr="00B21112">
        <w:rPr>
          <w:rFonts w:cstheme="minorHAnsi"/>
        </w:rPr>
        <w:t>anyone helped Adam plan or commit</w:t>
      </w:r>
      <w:r w:rsidR="00E8129B">
        <w:rPr>
          <w:rFonts w:cstheme="minorHAnsi"/>
        </w:rPr>
        <w:t xml:space="preserve"> the attack. </w:t>
      </w:r>
      <w:r w:rsidR="001D1692" w:rsidRPr="00B21112">
        <w:rPr>
          <w:rFonts w:cstheme="minorHAnsi"/>
        </w:rPr>
        <w:t>Pag</w:t>
      </w:r>
      <w:r w:rsidR="00421050">
        <w:rPr>
          <w:rFonts w:cstheme="minorHAnsi"/>
        </w:rPr>
        <w:t>e 3 even calls Adam’s attack a “rampage”,</w:t>
      </w:r>
      <w:r w:rsidR="001D1692" w:rsidRPr="00B21112">
        <w:rPr>
          <w:rFonts w:cstheme="minorHAnsi"/>
        </w:rPr>
        <w:t xml:space="preserve"> but is</w:t>
      </w:r>
      <w:r w:rsidR="00421050">
        <w:rPr>
          <w:rFonts w:cstheme="minorHAnsi"/>
        </w:rPr>
        <w:t xml:space="preserve">n’t “a </w:t>
      </w:r>
      <w:r w:rsidR="001D1692" w:rsidRPr="00B21112">
        <w:rPr>
          <w:rFonts w:cstheme="minorHAnsi"/>
        </w:rPr>
        <w:t>clearly planned rampage” an oxymoron?</w:t>
      </w:r>
      <w:r w:rsidR="00761C30" w:rsidRPr="00B21112">
        <w:rPr>
          <w:rFonts w:cstheme="minorHAnsi"/>
        </w:rPr>
        <w:t xml:space="preserve"> Page 2 admits that the only firea</w:t>
      </w:r>
      <w:r w:rsidR="00421050">
        <w:rPr>
          <w:rFonts w:cstheme="minorHAnsi"/>
        </w:rPr>
        <w:t xml:space="preserve">rm allegedly found on his person was not even </w:t>
      </w:r>
      <w:r w:rsidR="00761C30" w:rsidRPr="00B21112">
        <w:rPr>
          <w:rFonts w:cstheme="minorHAnsi"/>
        </w:rPr>
        <w:t xml:space="preserve">fired. How does a readily available firearm go unfired during an </w:t>
      </w:r>
      <w:r w:rsidR="007652C9" w:rsidRPr="00B21112">
        <w:rPr>
          <w:rFonts w:cstheme="minorHAnsi"/>
        </w:rPr>
        <w:t xml:space="preserve">almost </w:t>
      </w:r>
      <w:r w:rsidR="00761C30" w:rsidRPr="00B21112">
        <w:rPr>
          <w:rFonts w:cstheme="minorHAnsi"/>
        </w:rPr>
        <w:t>11-minute rampage?</w:t>
      </w:r>
    </w:p>
    <w:p w14:paraId="77B6DE4B" w14:textId="3411D25A" w:rsidR="00E8129B" w:rsidRPr="00B21112" w:rsidRDefault="00E8129B" w:rsidP="00E8129B">
      <w:pPr>
        <w:rPr>
          <w:rFonts w:cstheme="minorHAnsi"/>
        </w:rPr>
      </w:pPr>
      <w:r>
        <w:rPr>
          <w:rFonts w:cstheme="minorHAnsi"/>
        </w:rPr>
        <w:t>While the crucial footnote on page 37 says that the Bushmaster “cannot be eliminated” from having fired these rounds, the inability to identify any of the bullets as having been fired from the Bushmaster means that they failed to connect the weapon alleged to have been used with the shooter alleged to have used it to any of the victims or the crime scene itself. As a</w:t>
      </w:r>
      <w:r w:rsidR="0031655E">
        <w:rPr>
          <w:rFonts w:cstheme="minorHAnsi"/>
        </w:rPr>
        <w:t xml:space="preserve"> consequence, this report may</w:t>
      </w:r>
      <w:r>
        <w:rPr>
          <w:rFonts w:cstheme="minorHAnsi"/>
        </w:rPr>
        <w:t xml:space="preserve"> qualify as </w:t>
      </w:r>
      <w:r w:rsidR="00AB256F">
        <w:rPr>
          <w:rFonts w:cstheme="minorHAnsi"/>
        </w:rPr>
        <w:t xml:space="preserve">perhaps </w:t>
      </w:r>
      <w:r>
        <w:rPr>
          <w:rFonts w:cstheme="minorHAnsi"/>
        </w:rPr>
        <w:t>the most obvious and blatant forensic failure in the annals of criminal investigations.</w:t>
      </w:r>
    </w:p>
    <w:p w14:paraId="70059A26" w14:textId="0C74E5E5" w:rsidR="00C3447D" w:rsidRPr="00B21112" w:rsidRDefault="00C3447D" w:rsidP="00846558">
      <w:pPr>
        <w:spacing w:after="0"/>
        <w:jc w:val="center"/>
        <w:rPr>
          <w:rFonts w:cstheme="minorHAnsi"/>
          <w:i/>
        </w:rPr>
      </w:pPr>
      <w:r w:rsidRPr="00B21112">
        <w:rPr>
          <w:rFonts w:cstheme="minorHAnsi"/>
          <w:i/>
        </w:rPr>
        <w:t>Very respectfully,</w:t>
      </w:r>
    </w:p>
    <w:p w14:paraId="71A415F3" w14:textId="030A3480" w:rsidR="00420898" w:rsidRPr="00B21112" w:rsidRDefault="00C3447D" w:rsidP="00B21112">
      <w:pPr>
        <w:jc w:val="center"/>
        <w:rPr>
          <w:rFonts w:cstheme="minorHAnsi"/>
          <w:i/>
        </w:rPr>
      </w:pPr>
      <w:r w:rsidRPr="00B21112">
        <w:rPr>
          <w:rFonts w:cstheme="minorHAnsi"/>
          <w:i/>
        </w:rPr>
        <w:t>Sterling Harwood, J.D., Ph.D.</w:t>
      </w:r>
    </w:p>
    <w:p w14:paraId="398CC47A" w14:textId="7CDBF2D9" w:rsidR="00B21112" w:rsidRPr="00846558" w:rsidRDefault="00B21112" w:rsidP="00CC1996">
      <w:pPr>
        <w:rPr>
          <w:rFonts w:cstheme="minorHAnsi"/>
          <w:b/>
        </w:rPr>
      </w:pPr>
      <w:r w:rsidRPr="00846558">
        <w:rPr>
          <w:rFonts w:cstheme="minorHAnsi"/>
          <w:b/>
        </w:rPr>
        <w:t>Reference:</w:t>
      </w:r>
    </w:p>
    <w:p w14:paraId="1D00727C" w14:textId="283C977B" w:rsidR="00B21112" w:rsidRDefault="00B21112" w:rsidP="00846558">
      <w:pPr>
        <w:spacing w:after="0" w:line="240" w:lineRule="auto"/>
        <w:rPr>
          <w:rFonts w:cstheme="minorHAnsi"/>
        </w:rPr>
      </w:pPr>
      <w:r w:rsidRPr="00846558">
        <w:rPr>
          <w:rFonts w:eastAsia="Times New Roman" w:cstheme="minorHAnsi"/>
        </w:rPr>
        <w:t xml:space="preserve">Stephen Sedensky III, </w:t>
      </w:r>
      <w:hyperlink r:id="rId11" w:history="1">
        <w:r w:rsidRPr="00846558">
          <w:rPr>
            <w:rStyle w:val="Hyperlink"/>
            <w:rFonts w:eastAsia="Times New Roman" w:cstheme="minorHAnsi"/>
            <w:i/>
          </w:rPr>
          <w:t>Report of the State’s Attorney for the Judicial District of Danbury on the Shootings at Sandy Hook Elementary School and 36 Yogananda Street, Newtown, Connecticut on December 14, 2012</w:t>
        </w:r>
      </w:hyperlink>
      <w:r w:rsidRPr="00846558">
        <w:rPr>
          <w:rFonts w:eastAsia="Times New Roman" w:cstheme="minorHAnsi"/>
        </w:rPr>
        <w:t xml:space="preserve"> </w:t>
      </w:r>
      <w:r w:rsidR="00846558">
        <w:rPr>
          <w:rFonts w:eastAsia="Times New Roman" w:cstheme="minorHAnsi"/>
        </w:rPr>
        <w:t>(25 November 2013).</w:t>
      </w:r>
    </w:p>
    <w:p w14:paraId="2AC43BA8" w14:textId="2664ACF6" w:rsidR="0031655E" w:rsidRDefault="00B21112" w:rsidP="00846558">
      <w:bookmarkStart w:id="0" w:name="_GoBack"/>
      <w:r>
        <w:rPr>
          <w:rFonts w:cstheme="minorHAnsi"/>
          <w:noProof/>
        </w:rPr>
        <w:lastRenderedPageBreak/>
        <w:drawing>
          <wp:anchor distT="0" distB="0" distL="114300" distR="114300" simplePos="0" relativeHeight="251660288" behindDoc="1" locked="0" layoutInCell="1" allowOverlap="1" wp14:anchorId="61A27440" wp14:editId="6EE01A7A">
            <wp:simplePos x="914400" y="914400"/>
            <wp:positionH relativeFrom="column">
              <wp:align>left</wp:align>
            </wp:positionH>
            <wp:positionV relativeFrom="paragraph">
              <wp:posOffset>0</wp:posOffset>
            </wp:positionV>
            <wp:extent cx="2752344" cy="2221992"/>
            <wp:effectExtent l="0" t="0" r="0" b="6985"/>
            <wp:wrapTight wrapText="bothSides">
              <wp:wrapPolygon edited="0">
                <wp:start x="0" y="0"/>
                <wp:lineTo x="0" y="21483"/>
                <wp:lineTo x="21381" y="21483"/>
                <wp:lineTo x="213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rling Harwood (photo) .jpg"/>
                    <pic:cNvPicPr/>
                  </pic:nvPicPr>
                  <pic:blipFill>
                    <a:blip r:embed="rId12">
                      <a:extLst>
                        <a:ext uri="{28A0092B-C50C-407E-A947-70E740481C1C}">
                          <a14:useLocalDpi xmlns:a14="http://schemas.microsoft.com/office/drawing/2010/main" val="0"/>
                        </a:ext>
                      </a:extLst>
                    </a:blip>
                    <a:stretch>
                      <a:fillRect/>
                    </a:stretch>
                  </pic:blipFill>
                  <pic:spPr>
                    <a:xfrm>
                      <a:off x="0" y="0"/>
                      <a:ext cx="2752344" cy="2221992"/>
                    </a:xfrm>
                    <a:prstGeom prst="rect">
                      <a:avLst/>
                    </a:prstGeom>
                  </pic:spPr>
                </pic:pic>
              </a:graphicData>
            </a:graphic>
            <wp14:sizeRelH relativeFrom="margin">
              <wp14:pctWidth>0</wp14:pctWidth>
            </wp14:sizeRelH>
            <wp14:sizeRelV relativeFrom="margin">
              <wp14:pctHeight>0</wp14:pctHeight>
            </wp14:sizeRelV>
          </wp:anchor>
        </w:drawing>
      </w:r>
      <w:bookmarkEnd w:id="0"/>
      <w:r w:rsidR="0031655E" w:rsidRPr="0031655E">
        <w:rPr>
          <w:rFonts w:cstheme="minorHAnsi"/>
          <w:b/>
          <w:bCs/>
        </w:rPr>
        <w:t xml:space="preserve">Sterling Harwood </w:t>
      </w:r>
      <w:r w:rsidR="0031655E" w:rsidRPr="0031655E">
        <w:rPr>
          <w:rFonts w:cstheme="minorHAnsi"/>
        </w:rPr>
        <w:t>earned his J.D. from Cornell Law School and his Ph.D. in philosophy from Cornell University. Since 1998, he has practiced law in San Jose, California</w:t>
      </w:r>
      <w:r w:rsidR="0031655E">
        <w:rPr>
          <w:rFonts w:cstheme="minorHAnsi"/>
        </w:rPr>
        <w:t>, from which he has now retired</w:t>
      </w:r>
      <w:r w:rsidR="0031655E" w:rsidRPr="0031655E">
        <w:rPr>
          <w:rFonts w:cstheme="minorHAnsi"/>
        </w:rPr>
        <w:t xml:space="preserve">. He earned tenure as an Adjunct Philosopher at Evergreen Valley College after teaching at Cornell Law School, Cornell University, Lincoln Law School, San Jose State University and Illinois State University. His books include </w:t>
      </w:r>
      <w:r w:rsidR="0031655E" w:rsidRPr="0031655E">
        <w:rPr>
          <w:rFonts w:cstheme="minorHAnsi"/>
          <w:i/>
          <w:iCs/>
        </w:rPr>
        <w:t xml:space="preserve">Crime and Punishment </w:t>
      </w:r>
      <w:r w:rsidR="0031655E" w:rsidRPr="0031655E">
        <w:rPr>
          <w:rFonts w:cstheme="minorHAnsi"/>
        </w:rPr>
        <w:t xml:space="preserve">(with Michael J. Gorr, 2000), </w:t>
      </w:r>
      <w:r w:rsidR="0031655E" w:rsidRPr="0031655E">
        <w:rPr>
          <w:rFonts w:cstheme="minorHAnsi"/>
          <w:i/>
          <w:iCs/>
        </w:rPr>
        <w:t xml:space="preserve">Business as Ethical and Business as Usual </w:t>
      </w:r>
      <w:r w:rsidR="0031655E" w:rsidRPr="0031655E">
        <w:rPr>
          <w:rFonts w:cstheme="minorHAnsi"/>
        </w:rPr>
        <w:t xml:space="preserve">(1996), </w:t>
      </w:r>
      <w:r w:rsidR="0031655E" w:rsidRPr="0031655E">
        <w:rPr>
          <w:rFonts w:cstheme="minorHAnsi"/>
          <w:i/>
          <w:iCs/>
        </w:rPr>
        <w:t xml:space="preserve">Judicial Activism </w:t>
      </w:r>
      <w:r w:rsidR="0031655E" w:rsidRPr="0031655E">
        <w:rPr>
          <w:rFonts w:cstheme="minorHAnsi"/>
        </w:rPr>
        <w:t>(1996)</w:t>
      </w:r>
      <w:r w:rsidR="0031655E">
        <w:rPr>
          <w:rFonts w:cstheme="minorHAnsi"/>
        </w:rPr>
        <w:t>,</w:t>
      </w:r>
      <w:r w:rsidR="0031655E" w:rsidRPr="0031655E">
        <w:rPr>
          <w:rFonts w:cstheme="minorHAnsi"/>
        </w:rPr>
        <w:t xml:space="preserve"> and </w:t>
      </w:r>
      <w:r w:rsidR="0031655E" w:rsidRPr="0031655E">
        <w:rPr>
          <w:rFonts w:cstheme="minorHAnsi"/>
          <w:i/>
          <w:iCs/>
        </w:rPr>
        <w:t xml:space="preserve">Controversies in Criminal Law </w:t>
      </w:r>
      <w:r w:rsidR="0031655E" w:rsidRPr="0031655E">
        <w:rPr>
          <w:rFonts w:cstheme="minorHAnsi"/>
        </w:rPr>
        <w:t xml:space="preserve">(with Michael J. Gorr, 1992). </w:t>
      </w:r>
    </w:p>
    <w:p w14:paraId="5DFF50B6" w14:textId="77777777" w:rsidR="00B21112" w:rsidRPr="00B21112" w:rsidRDefault="00B21112" w:rsidP="00CC1996">
      <w:pPr>
        <w:rPr>
          <w:rFonts w:cstheme="minorHAnsi"/>
        </w:rPr>
      </w:pPr>
    </w:p>
    <w:sectPr w:rsidR="00B21112" w:rsidRPr="00B2111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E6860" w14:textId="77777777" w:rsidR="003347D3" w:rsidRDefault="003347D3" w:rsidP="00846558">
      <w:pPr>
        <w:spacing w:after="0" w:line="240" w:lineRule="auto"/>
      </w:pPr>
      <w:r>
        <w:separator/>
      </w:r>
    </w:p>
  </w:endnote>
  <w:endnote w:type="continuationSeparator" w:id="0">
    <w:p w14:paraId="194AB1FD" w14:textId="77777777" w:rsidR="003347D3" w:rsidRDefault="003347D3" w:rsidP="0084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055348"/>
      <w:docPartObj>
        <w:docPartGallery w:val="Page Numbers (Bottom of Page)"/>
        <w:docPartUnique/>
      </w:docPartObj>
    </w:sdtPr>
    <w:sdtContent>
      <w:sdt>
        <w:sdtPr>
          <w:id w:val="1728636285"/>
          <w:docPartObj>
            <w:docPartGallery w:val="Page Numbers (Top of Page)"/>
            <w:docPartUnique/>
          </w:docPartObj>
        </w:sdtPr>
        <w:sdtContent>
          <w:p w14:paraId="777E342B" w14:textId="4D23C23A" w:rsidR="00846558" w:rsidRDefault="00846558" w:rsidP="008465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0CF2" w14:textId="77777777" w:rsidR="003347D3" w:rsidRDefault="003347D3" w:rsidP="00846558">
      <w:pPr>
        <w:spacing w:after="0" w:line="240" w:lineRule="auto"/>
      </w:pPr>
      <w:r>
        <w:separator/>
      </w:r>
    </w:p>
  </w:footnote>
  <w:footnote w:type="continuationSeparator" w:id="0">
    <w:p w14:paraId="0A60EEDA" w14:textId="77777777" w:rsidR="003347D3" w:rsidRDefault="003347D3" w:rsidP="00846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64224" w14:textId="6A635F66" w:rsidR="00846558" w:rsidRPr="00846558" w:rsidRDefault="00846558" w:rsidP="00846558">
    <w:pPr>
      <w:pStyle w:val="Header"/>
      <w:jc w:val="center"/>
      <w:rPr>
        <w:b/>
      </w:rPr>
    </w:pPr>
    <w:r w:rsidRPr="00846558">
      <w:rPr>
        <w:b/>
      </w:rPr>
      <w:t>MEMORANDUM FOR THE PRESIDENT OF THE UNITED STATES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8CE"/>
    <w:multiLevelType w:val="hybridMultilevel"/>
    <w:tmpl w:val="BE30D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41"/>
    <w:rsid w:val="00064D8D"/>
    <w:rsid w:val="00073923"/>
    <w:rsid w:val="00097D73"/>
    <w:rsid w:val="000A4CD0"/>
    <w:rsid w:val="000B5DB5"/>
    <w:rsid w:val="000E3A34"/>
    <w:rsid w:val="001071CA"/>
    <w:rsid w:val="001829A5"/>
    <w:rsid w:val="001937A0"/>
    <w:rsid w:val="001A1075"/>
    <w:rsid w:val="001A43DC"/>
    <w:rsid w:val="001D1692"/>
    <w:rsid w:val="001E4ED9"/>
    <w:rsid w:val="001F276F"/>
    <w:rsid w:val="00200141"/>
    <w:rsid w:val="002270ED"/>
    <w:rsid w:val="00232A80"/>
    <w:rsid w:val="00272BA0"/>
    <w:rsid w:val="00280569"/>
    <w:rsid w:val="00284BC2"/>
    <w:rsid w:val="002B2597"/>
    <w:rsid w:val="002C5A66"/>
    <w:rsid w:val="002E5F91"/>
    <w:rsid w:val="002E74D4"/>
    <w:rsid w:val="00311BB7"/>
    <w:rsid w:val="0031655E"/>
    <w:rsid w:val="0032487F"/>
    <w:rsid w:val="003347D3"/>
    <w:rsid w:val="00366B7A"/>
    <w:rsid w:val="003A7B71"/>
    <w:rsid w:val="003D0DDE"/>
    <w:rsid w:val="003F52D6"/>
    <w:rsid w:val="004046FB"/>
    <w:rsid w:val="00420898"/>
    <w:rsid w:val="00421050"/>
    <w:rsid w:val="00423DA7"/>
    <w:rsid w:val="00462958"/>
    <w:rsid w:val="004C4E52"/>
    <w:rsid w:val="004C4FC4"/>
    <w:rsid w:val="0050077E"/>
    <w:rsid w:val="00557FC2"/>
    <w:rsid w:val="00562699"/>
    <w:rsid w:val="00571D16"/>
    <w:rsid w:val="0058223B"/>
    <w:rsid w:val="005A00AF"/>
    <w:rsid w:val="005C665A"/>
    <w:rsid w:val="005E64CA"/>
    <w:rsid w:val="00643031"/>
    <w:rsid w:val="0065646B"/>
    <w:rsid w:val="0068097C"/>
    <w:rsid w:val="006A2C37"/>
    <w:rsid w:val="006A573E"/>
    <w:rsid w:val="006B27F2"/>
    <w:rsid w:val="006D3984"/>
    <w:rsid w:val="00732F64"/>
    <w:rsid w:val="0075188F"/>
    <w:rsid w:val="00761C30"/>
    <w:rsid w:val="007652C9"/>
    <w:rsid w:val="007935ED"/>
    <w:rsid w:val="007A1FA0"/>
    <w:rsid w:val="007E7BFC"/>
    <w:rsid w:val="007F427D"/>
    <w:rsid w:val="00846558"/>
    <w:rsid w:val="00885CB3"/>
    <w:rsid w:val="008945CD"/>
    <w:rsid w:val="00896AF8"/>
    <w:rsid w:val="008F2FE9"/>
    <w:rsid w:val="008F559B"/>
    <w:rsid w:val="00956AD6"/>
    <w:rsid w:val="00962F64"/>
    <w:rsid w:val="009C5A80"/>
    <w:rsid w:val="009F1866"/>
    <w:rsid w:val="00A1549E"/>
    <w:rsid w:val="00A306CB"/>
    <w:rsid w:val="00A32B48"/>
    <w:rsid w:val="00A461D2"/>
    <w:rsid w:val="00A72F8C"/>
    <w:rsid w:val="00A80AC9"/>
    <w:rsid w:val="00A84073"/>
    <w:rsid w:val="00AB256F"/>
    <w:rsid w:val="00B21112"/>
    <w:rsid w:val="00B3218D"/>
    <w:rsid w:val="00B36BE4"/>
    <w:rsid w:val="00B50B8A"/>
    <w:rsid w:val="00B66F6B"/>
    <w:rsid w:val="00BB5A4A"/>
    <w:rsid w:val="00BC3015"/>
    <w:rsid w:val="00BF0F76"/>
    <w:rsid w:val="00BF62FC"/>
    <w:rsid w:val="00C04B1D"/>
    <w:rsid w:val="00C3447D"/>
    <w:rsid w:val="00C863BD"/>
    <w:rsid w:val="00C96635"/>
    <w:rsid w:val="00CC1996"/>
    <w:rsid w:val="00CD14E2"/>
    <w:rsid w:val="00CE2E89"/>
    <w:rsid w:val="00CF7A71"/>
    <w:rsid w:val="00D410CF"/>
    <w:rsid w:val="00D60293"/>
    <w:rsid w:val="00DA31E3"/>
    <w:rsid w:val="00DC3710"/>
    <w:rsid w:val="00DE07EF"/>
    <w:rsid w:val="00DF6AFD"/>
    <w:rsid w:val="00DF6FA3"/>
    <w:rsid w:val="00E45836"/>
    <w:rsid w:val="00E8129B"/>
    <w:rsid w:val="00E94CE6"/>
    <w:rsid w:val="00EF148F"/>
    <w:rsid w:val="00F018AC"/>
    <w:rsid w:val="00F256F7"/>
    <w:rsid w:val="00F43012"/>
    <w:rsid w:val="00F56AC7"/>
    <w:rsid w:val="00F71F60"/>
    <w:rsid w:val="00F72D53"/>
    <w:rsid w:val="00FA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2DBD7"/>
  <w15:chartTrackingRefBased/>
  <w15:docId w15:val="{A57A3703-17F9-4523-89F3-0EBA1802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141"/>
    <w:pPr>
      <w:ind w:left="720"/>
      <w:contextualSpacing/>
    </w:pPr>
  </w:style>
  <w:style w:type="character" w:styleId="Hyperlink">
    <w:name w:val="Hyperlink"/>
    <w:basedOn w:val="DefaultParagraphFont"/>
    <w:uiPriority w:val="99"/>
    <w:unhideWhenUsed/>
    <w:rsid w:val="006A573E"/>
    <w:rPr>
      <w:color w:val="0563C1" w:themeColor="hyperlink"/>
      <w:u w:val="single"/>
    </w:rPr>
  </w:style>
  <w:style w:type="character" w:customStyle="1" w:styleId="UnresolvedMention">
    <w:name w:val="Unresolved Mention"/>
    <w:basedOn w:val="DefaultParagraphFont"/>
    <w:uiPriority w:val="99"/>
    <w:semiHidden/>
    <w:unhideWhenUsed/>
    <w:rsid w:val="006A573E"/>
    <w:rPr>
      <w:color w:val="605E5C"/>
      <w:shd w:val="clear" w:color="auto" w:fill="E1DFDD"/>
    </w:rPr>
  </w:style>
  <w:style w:type="character" w:styleId="FollowedHyperlink">
    <w:name w:val="FollowedHyperlink"/>
    <w:basedOn w:val="DefaultParagraphFont"/>
    <w:uiPriority w:val="99"/>
    <w:semiHidden/>
    <w:unhideWhenUsed/>
    <w:rsid w:val="00B21112"/>
    <w:rPr>
      <w:color w:val="954F72" w:themeColor="followedHyperlink"/>
      <w:u w:val="single"/>
    </w:rPr>
  </w:style>
  <w:style w:type="paragraph" w:styleId="NormalWeb">
    <w:name w:val="Normal (Web)"/>
    <w:basedOn w:val="Normal"/>
    <w:uiPriority w:val="99"/>
    <w:unhideWhenUsed/>
    <w:rsid w:val="003165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6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558"/>
  </w:style>
  <w:style w:type="paragraph" w:styleId="Footer">
    <w:name w:val="footer"/>
    <w:basedOn w:val="Normal"/>
    <w:link w:val="FooterChar"/>
    <w:uiPriority w:val="99"/>
    <w:unhideWhenUsed/>
    <w:rsid w:val="00846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013486">
      <w:bodyDiv w:val="1"/>
      <w:marLeft w:val="0"/>
      <w:marRight w:val="0"/>
      <w:marTop w:val="0"/>
      <w:marBottom w:val="0"/>
      <w:divBdr>
        <w:top w:val="none" w:sz="0" w:space="0" w:color="auto"/>
        <w:left w:val="none" w:sz="0" w:space="0" w:color="auto"/>
        <w:bottom w:val="none" w:sz="0" w:space="0" w:color="auto"/>
        <w:right w:val="none" w:sz="0" w:space="0" w:color="auto"/>
      </w:divBdr>
    </w:div>
    <w:div w:id="1705640565">
      <w:bodyDiv w:val="1"/>
      <w:marLeft w:val="0"/>
      <w:marRight w:val="0"/>
      <w:marTop w:val="0"/>
      <w:marBottom w:val="0"/>
      <w:divBdr>
        <w:top w:val="none" w:sz="0" w:space="0" w:color="auto"/>
        <w:left w:val="none" w:sz="0" w:space="0" w:color="auto"/>
        <w:bottom w:val="none" w:sz="0" w:space="0" w:color="auto"/>
        <w:right w:val="none" w:sz="0" w:space="0" w:color="auto"/>
      </w:divBdr>
      <w:divsChild>
        <w:div w:id="1259604126">
          <w:marLeft w:val="0"/>
          <w:marRight w:val="0"/>
          <w:marTop w:val="0"/>
          <w:marBottom w:val="0"/>
          <w:divBdr>
            <w:top w:val="none" w:sz="0" w:space="0" w:color="auto"/>
            <w:left w:val="none" w:sz="0" w:space="0" w:color="auto"/>
            <w:bottom w:val="none" w:sz="0" w:space="0" w:color="auto"/>
            <w:right w:val="none" w:sz="0" w:space="0" w:color="auto"/>
          </w:divBdr>
          <w:divsChild>
            <w:div w:id="2030056872">
              <w:marLeft w:val="0"/>
              <w:marRight w:val="0"/>
              <w:marTop w:val="0"/>
              <w:marBottom w:val="0"/>
              <w:divBdr>
                <w:top w:val="none" w:sz="0" w:space="0" w:color="auto"/>
                <w:left w:val="none" w:sz="0" w:space="0" w:color="auto"/>
                <w:bottom w:val="none" w:sz="0" w:space="0" w:color="auto"/>
                <w:right w:val="none" w:sz="0" w:space="0" w:color="auto"/>
              </w:divBdr>
              <w:divsChild>
                <w:div w:id="307246627">
                  <w:marLeft w:val="0"/>
                  <w:marRight w:val="0"/>
                  <w:marTop w:val="0"/>
                  <w:marBottom w:val="0"/>
                  <w:divBdr>
                    <w:top w:val="none" w:sz="0" w:space="0" w:color="auto"/>
                    <w:left w:val="none" w:sz="0" w:space="0" w:color="auto"/>
                    <w:bottom w:val="none" w:sz="0" w:space="0" w:color="auto"/>
                    <w:right w:val="none" w:sz="0" w:space="0" w:color="auto"/>
                  </w:divBdr>
                </w:div>
              </w:divsChild>
            </w:div>
            <w:div w:id="762998320">
              <w:marLeft w:val="0"/>
              <w:marRight w:val="0"/>
              <w:marTop w:val="0"/>
              <w:marBottom w:val="0"/>
              <w:divBdr>
                <w:top w:val="none" w:sz="0" w:space="0" w:color="auto"/>
                <w:left w:val="none" w:sz="0" w:space="0" w:color="auto"/>
                <w:bottom w:val="none" w:sz="0" w:space="0" w:color="auto"/>
                <w:right w:val="none" w:sz="0" w:space="0" w:color="auto"/>
              </w:divBdr>
              <w:divsChild>
                <w:div w:id="19822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1565">
          <w:marLeft w:val="0"/>
          <w:marRight w:val="0"/>
          <w:marTop w:val="0"/>
          <w:marBottom w:val="0"/>
          <w:divBdr>
            <w:top w:val="none" w:sz="0" w:space="0" w:color="auto"/>
            <w:left w:val="none" w:sz="0" w:space="0" w:color="auto"/>
            <w:bottom w:val="none" w:sz="0" w:space="0" w:color="auto"/>
            <w:right w:val="none" w:sz="0" w:space="0" w:color="auto"/>
          </w:divBdr>
          <w:divsChild>
            <w:div w:id="342821763">
              <w:marLeft w:val="0"/>
              <w:marRight w:val="0"/>
              <w:marTop w:val="0"/>
              <w:marBottom w:val="0"/>
              <w:divBdr>
                <w:top w:val="none" w:sz="0" w:space="0" w:color="auto"/>
                <w:left w:val="none" w:sz="0" w:space="0" w:color="auto"/>
                <w:bottom w:val="none" w:sz="0" w:space="0" w:color="auto"/>
                <w:right w:val="none" w:sz="0" w:space="0" w:color="auto"/>
              </w:divBdr>
              <w:divsChild>
                <w:div w:id="6656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gov/csao/lib/csao/Sandy_Hook_Final_Repor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4B389-9D1E-4CD9-B991-BB61164B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Sterling Harwood</dc:creator>
  <cp:keywords/>
  <dc:description/>
  <cp:lastModifiedBy>Robert</cp:lastModifiedBy>
  <cp:revision>2</cp:revision>
  <dcterms:created xsi:type="dcterms:W3CDTF">2018-08-22T13:18:00Z</dcterms:created>
  <dcterms:modified xsi:type="dcterms:W3CDTF">2018-08-22T13:18:00Z</dcterms:modified>
</cp:coreProperties>
</file>